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A051F" w14:textId="0085D56F" w:rsidR="00106DB0" w:rsidRDefault="00DE5100">
      <w:r w:rsidRPr="0003083F">
        <w:rPr>
          <w:noProof/>
        </w:rPr>
        <w:drawing>
          <wp:inline distT="0" distB="0" distL="0" distR="0" wp14:anchorId="13FB37F4" wp14:editId="279E573F">
            <wp:extent cx="2057400" cy="1200150"/>
            <wp:effectExtent l="0" t="0" r="0" b="0"/>
            <wp:docPr id="2" name="Image 2" descr="Logo-FNCDG_CM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FNCDG_CMJ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57400" cy="1200150"/>
                    </a:xfrm>
                    <a:prstGeom prst="rect">
                      <a:avLst/>
                    </a:prstGeom>
                    <a:noFill/>
                    <a:ln>
                      <a:noFill/>
                    </a:ln>
                  </pic:spPr>
                </pic:pic>
              </a:graphicData>
            </a:graphic>
          </wp:inline>
        </w:drawing>
      </w:r>
    </w:p>
    <w:p w14:paraId="2959AE5F" w14:textId="708346B1" w:rsidR="00DE5100" w:rsidRPr="00DE5100" w:rsidRDefault="00DE5100" w:rsidP="00DE5100">
      <w:pPr>
        <w:jc w:val="both"/>
        <w:rPr>
          <w:rFonts w:ascii="Verdana" w:hAnsi="Verdana"/>
        </w:rPr>
      </w:pPr>
    </w:p>
    <w:p w14:paraId="773BEFA1" w14:textId="6C4176B5" w:rsidR="00DE5100" w:rsidRDefault="00DE5100" w:rsidP="00DE5100">
      <w:pPr>
        <w:pBdr>
          <w:top w:val="single" w:sz="4" w:space="1" w:color="auto"/>
          <w:left w:val="single" w:sz="4" w:space="4" w:color="auto"/>
          <w:bottom w:val="single" w:sz="4" w:space="1" w:color="auto"/>
          <w:right w:val="single" w:sz="4" w:space="4" w:color="auto"/>
        </w:pBdr>
        <w:jc w:val="center"/>
        <w:rPr>
          <w:rFonts w:ascii="Verdana" w:hAnsi="Verdana"/>
          <w:b/>
          <w:bCs/>
        </w:rPr>
      </w:pPr>
      <w:r w:rsidRPr="00DE5100">
        <w:rPr>
          <w:rFonts w:ascii="Verdana" w:hAnsi="Verdana"/>
          <w:b/>
          <w:bCs/>
        </w:rPr>
        <w:t>Le référent déontologue de l’élu local</w:t>
      </w:r>
    </w:p>
    <w:p w14:paraId="2673E322" w14:textId="64AFD1E0" w:rsidR="00DE5100" w:rsidRPr="00DE5100" w:rsidRDefault="00DE5100" w:rsidP="00DE5100">
      <w:pPr>
        <w:pBdr>
          <w:top w:val="single" w:sz="4" w:space="1" w:color="auto"/>
          <w:left w:val="single" w:sz="4" w:space="4" w:color="auto"/>
          <w:bottom w:val="single" w:sz="4" w:space="1" w:color="auto"/>
          <w:right w:val="single" w:sz="4" w:space="4" w:color="auto"/>
        </w:pBdr>
        <w:jc w:val="center"/>
        <w:rPr>
          <w:rFonts w:ascii="Verdana" w:hAnsi="Verdana"/>
          <w:i/>
          <w:iCs/>
        </w:rPr>
      </w:pPr>
      <w:r w:rsidRPr="00DE5100">
        <w:rPr>
          <w:rFonts w:ascii="Verdana" w:hAnsi="Verdana"/>
          <w:i/>
          <w:iCs/>
        </w:rPr>
        <w:t>Décret n°2022-1520 du 6 décembre 2022</w:t>
      </w:r>
    </w:p>
    <w:p w14:paraId="78D05B0A" w14:textId="77777777" w:rsidR="00DE5100" w:rsidRDefault="00DE5100" w:rsidP="00DE5100">
      <w:pPr>
        <w:spacing w:after="240"/>
        <w:jc w:val="both"/>
        <w:rPr>
          <w:rFonts w:ascii="Verdana" w:hAnsi="Verdana"/>
        </w:rPr>
      </w:pPr>
    </w:p>
    <w:p w14:paraId="33F1D4E3" w14:textId="5F80D065" w:rsidR="00DE5100" w:rsidRDefault="00DE5100" w:rsidP="00DE5100">
      <w:pPr>
        <w:spacing w:after="240" w:line="240" w:lineRule="auto"/>
        <w:jc w:val="both"/>
        <w:rPr>
          <w:rFonts w:ascii="Verdana" w:hAnsi="Verdana"/>
          <w:color w:val="000000" w:themeColor="text1"/>
        </w:rPr>
      </w:pPr>
      <w:r w:rsidRPr="00DE5100">
        <w:rPr>
          <w:rFonts w:ascii="Verdana" w:hAnsi="Verdana"/>
          <w:color w:val="000000" w:themeColor="text1"/>
        </w:rPr>
        <w:t xml:space="preserve">L'institution d'un référent déontologue de l'élu local résulte d'un amendement parlementaire lors de la discussion de la </w:t>
      </w:r>
      <w:hyperlink r:id="rId7" w:history="1">
        <w:r w:rsidRPr="00DE5100">
          <w:rPr>
            <w:rStyle w:val="Lienhypertexte"/>
            <w:rFonts w:ascii="Verdana" w:hAnsi="Verdana"/>
            <w:color w:val="000000" w:themeColor="text1"/>
            <w:u w:val="none"/>
          </w:rPr>
          <w:t>loi n° 2022-217 du 21 février 2022 relative à la différenciation, la décentralisation, la déconcentration et portant diverses mesures de simplification de l'action publique</w:t>
        </w:r>
      </w:hyperlink>
      <w:r w:rsidRPr="00DE5100">
        <w:rPr>
          <w:rFonts w:ascii="Verdana" w:hAnsi="Verdana"/>
          <w:color w:val="000000" w:themeColor="text1"/>
        </w:rPr>
        <w:t xml:space="preserve">. </w:t>
      </w:r>
    </w:p>
    <w:p w14:paraId="7E89B6CF" w14:textId="77777777" w:rsidR="00DE5100" w:rsidRDefault="00000000" w:rsidP="00DE5100">
      <w:pPr>
        <w:spacing w:after="240" w:line="240" w:lineRule="auto"/>
        <w:jc w:val="both"/>
        <w:rPr>
          <w:rFonts w:ascii="Verdana" w:hAnsi="Verdana"/>
          <w:color w:val="000000" w:themeColor="text1"/>
        </w:rPr>
      </w:pPr>
      <w:hyperlink r:id="rId8" w:history="1">
        <w:r w:rsidR="00DE5100" w:rsidRPr="00DE5100">
          <w:rPr>
            <w:rStyle w:val="Lienhypertexte"/>
            <w:rFonts w:ascii="Verdana" w:hAnsi="Verdana"/>
            <w:b/>
            <w:bCs/>
            <w:color w:val="000000" w:themeColor="text1"/>
            <w:u w:val="none"/>
          </w:rPr>
          <w:t>L'article L. 1111-1-1 du code général des collectivités territoriales</w:t>
        </w:r>
      </w:hyperlink>
      <w:r w:rsidR="00DE5100" w:rsidRPr="00DE5100">
        <w:rPr>
          <w:rFonts w:ascii="Verdana" w:hAnsi="Verdana"/>
          <w:color w:val="000000" w:themeColor="text1"/>
        </w:rPr>
        <w:t xml:space="preserve"> qui traite de la Charte de l'élu local a ainsi été complété par "</w:t>
      </w:r>
      <w:r w:rsidR="00DE5100" w:rsidRPr="00DE5100">
        <w:rPr>
          <w:rFonts w:ascii="Verdana" w:hAnsi="Verdana"/>
          <w:i/>
          <w:iCs/>
          <w:color w:val="000000" w:themeColor="text1"/>
        </w:rPr>
        <w:t>Tout élu local peut consulter un référent déontologue chargé de lui apporter tout conseil utile au respect des principes déontologiques consacrés dans la présente charte</w:t>
      </w:r>
      <w:r w:rsidR="00DE5100" w:rsidRPr="00DE5100">
        <w:rPr>
          <w:rFonts w:ascii="Verdana" w:hAnsi="Verdana"/>
          <w:color w:val="000000" w:themeColor="text1"/>
        </w:rPr>
        <w:t>."</w:t>
      </w:r>
    </w:p>
    <w:p w14:paraId="43E497FE" w14:textId="77777777" w:rsidR="00DE5100" w:rsidRDefault="00DE5100" w:rsidP="00DE5100">
      <w:pPr>
        <w:spacing w:after="240" w:line="240" w:lineRule="auto"/>
        <w:jc w:val="both"/>
        <w:rPr>
          <w:rFonts w:ascii="Verdana" w:hAnsi="Verdana"/>
          <w:color w:val="000000" w:themeColor="text1"/>
        </w:rPr>
      </w:pPr>
      <w:r w:rsidRPr="00DE5100">
        <w:rPr>
          <w:rFonts w:ascii="Verdana" w:hAnsi="Verdana"/>
          <w:color w:val="000000" w:themeColor="text1"/>
        </w:rPr>
        <w:t>Un</w:t>
      </w:r>
      <w:hyperlink r:id="rId9" w:history="1">
        <w:r w:rsidRPr="00DE5100">
          <w:rPr>
            <w:rStyle w:val="Lienhypertexte"/>
            <w:rFonts w:ascii="Verdana" w:hAnsi="Verdana"/>
            <w:color w:val="000000" w:themeColor="text1"/>
            <w:u w:val="none"/>
          </w:rPr>
          <w:t xml:space="preserve"> </w:t>
        </w:r>
        <w:r w:rsidRPr="00DE5100">
          <w:rPr>
            <w:rStyle w:val="Lienhypertexte"/>
            <w:rFonts w:ascii="Verdana" w:hAnsi="Verdana"/>
            <w:b/>
            <w:bCs/>
            <w:color w:val="000000" w:themeColor="text1"/>
            <w:u w:val="none"/>
          </w:rPr>
          <w:t>décret n° 2022-1520 du 6 décembre 2022</w:t>
        </w:r>
        <w:r w:rsidRPr="00DE5100">
          <w:rPr>
            <w:rStyle w:val="Lienhypertexte"/>
            <w:rFonts w:ascii="Verdana" w:hAnsi="Verdana"/>
            <w:color w:val="000000" w:themeColor="text1"/>
            <w:u w:val="none"/>
          </w:rPr>
          <w:t xml:space="preserve"> relatif au référent déontologue de l'élu local</w:t>
        </w:r>
      </w:hyperlink>
      <w:r w:rsidRPr="00DE5100">
        <w:rPr>
          <w:rFonts w:ascii="Verdana" w:hAnsi="Verdana"/>
          <w:color w:val="000000" w:themeColor="text1"/>
        </w:rPr>
        <w:t xml:space="preserve"> est venu préciser les modalités d'application de cet article.</w:t>
      </w:r>
      <w:r w:rsidRPr="00DE5100">
        <w:rPr>
          <w:rFonts w:ascii="Verdana" w:hAnsi="Verdana"/>
          <w:color w:val="000000" w:themeColor="text1"/>
        </w:rPr>
        <w:br/>
      </w:r>
      <w:r w:rsidRPr="00DE5100">
        <w:rPr>
          <w:rFonts w:ascii="Verdana" w:hAnsi="Verdana"/>
          <w:color w:val="000000" w:themeColor="text1"/>
        </w:rPr>
        <w:br/>
        <w:t>Lors de l'examen de ce texte, le Conseil d’État a été particulièrement attentif aux garanties en termes d'indépendance et d'impartialité de la ou des personnes physiques pouvant être désignées pour assurer ces fonctions.</w:t>
      </w:r>
    </w:p>
    <w:p w14:paraId="46ABDE41" w14:textId="77777777" w:rsidR="00DE5100" w:rsidRDefault="00DE5100" w:rsidP="00DE5100">
      <w:pPr>
        <w:spacing w:after="240" w:line="240" w:lineRule="auto"/>
        <w:jc w:val="both"/>
        <w:rPr>
          <w:rFonts w:ascii="Verdana" w:hAnsi="Verdana"/>
          <w:color w:val="000000" w:themeColor="text1"/>
        </w:rPr>
      </w:pPr>
      <w:r w:rsidRPr="00DE5100">
        <w:rPr>
          <w:rFonts w:ascii="Verdana" w:hAnsi="Verdana"/>
          <w:color w:val="000000" w:themeColor="text1"/>
        </w:rPr>
        <w:t xml:space="preserve">Le décret prévoit que l'organe délibérant de chaque collectivité territoriale, groupement de collectivités territoriales ou syndicat mixte visé à </w:t>
      </w:r>
      <w:hyperlink r:id="rId10" w:history="1">
        <w:r w:rsidRPr="00DE5100">
          <w:rPr>
            <w:rStyle w:val="Lienhypertexte"/>
            <w:rFonts w:ascii="Verdana" w:hAnsi="Verdana"/>
            <w:color w:val="000000" w:themeColor="text1"/>
            <w:u w:val="none"/>
          </w:rPr>
          <w:t>l'article L. 5721-2 du CGCT</w:t>
        </w:r>
      </w:hyperlink>
      <w:r w:rsidRPr="00DE5100">
        <w:rPr>
          <w:rFonts w:ascii="Verdana" w:hAnsi="Verdana"/>
          <w:color w:val="000000" w:themeColor="text1"/>
        </w:rPr>
        <w:t xml:space="preserve"> désigne le référent déontologue (soit une ou plusieurs personnes, soit un collège). </w:t>
      </w:r>
    </w:p>
    <w:p w14:paraId="51771B93" w14:textId="77777777" w:rsidR="00DE5100" w:rsidRDefault="00DE5100" w:rsidP="00DE5100">
      <w:pPr>
        <w:spacing w:after="240" w:line="240" w:lineRule="auto"/>
        <w:jc w:val="both"/>
        <w:rPr>
          <w:rFonts w:ascii="Verdana" w:hAnsi="Verdana"/>
          <w:color w:val="000000" w:themeColor="text1"/>
        </w:rPr>
      </w:pPr>
      <w:r w:rsidRPr="00DE5100">
        <w:rPr>
          <w:rFonts w:ascii="Verdana" w:hAnsi="Verdana"/>
          <w:color w:val="000000" w:themeColor="text1"/>
        </w:rPr>
        <w:t>Le texte permet également la désignation d'un même référent déontologue de l'élu local par plusieurs collectivités, groupements de collectivités ou syndicats mixtes, par délibérations concordantes. Le décret prévoit ainsi la possibilité pour chaque collectivité, groupement de collectivités ou syndicat mixte de désigner le même référent ou collège (par exemple, un conseil départemental, une communauté de communes, des communes non nombres de cette CC peuvent désigner le même référent).</w:t>
      </w:r>
    </w:p>
    <w:p w14:paraId="41464547" w14:textId="614B7461" w:rsidR="00DE5100" w:rsidRDefault="00571A69" w:rsidP="00DE5100">
      <w:pPr>
        <w:spacing w:after="240" w:line="240" w:lineRule="auto"/>
        <w:jc w:val="both"/>
        <w:rPr>
          <w:rFonts w:ascii="Verdana" w:hAnsi="Verdana"/>
          <w:color w:val="000000" w:themeColor="text1"/>
        </w:rPr>
      </w:pPr>
      <w:r>
        <w:rPr>
          <w:rFonts w:ascii="Verdana" w:hAnsi="Verdana"/>
          <w:color w:val="000000" w:themeColor="text1"/>
        </w:rPr>
        <w:t xml:space="preserve">Ce </w:t>
      </w:r>
      <w:r w:rsidR="00DE5100" w:rsidRPr="00DE5100">
        <w:rPr>
          <w:rFonts w:ascii="Verdana" w:hAnsi="Verdana"/>
          <w:color w:val="000000" w:themeColor="text1"/>
        </w:rPr>
        <w:t>décret</w:t>
      </w:r>
      <w:r>
        <w:rPr>
          <w:rFonts w:ascii="Verdana" w:hAnsi="Verdana"/>
          <w:color w:val="000000" w:themeColor="text1"/>
        </w:rPr>
        <w:t xml:space="preserve"> entre en vigueur</w:t>
      </w:r>
      <w:r w:rsidR="00DE5100" w:rsidRPr="00DE5100">
        <w:rPr>
          <w:rFonts w:ascii="Verdana" w:hAnsi="Verdana"/>
          <w:color w:val="000000" w:themeColor="text1"/>
        </w:rPr>
        <w:t xml:space="preserve"> </w:t>
      </w:r>
      <w:r>
        <w:rPr>
          <w:rFonts w:ascii="Verdana" w:hAnsi="Verdana"/>
          <w:color w:val="000000" w:themeColor="text1"/>
        </w:rPr>
        <w:t>le</w:t>
      </w:r>
      <w:r w:rsidR="00DE5100" w:rsidRPr="00DE5100">
        <w:rPr>
          <w:rFonts w:ascii="Verdana" w:hAnsi="Verdana"/>
          <w:color w:val="000000" w:themeColor="text1"/>
        </w:rPr>
        <w:t xml:space="preserve"> 1er juin 2023</w:t>
      </w:r>
      <w:r>
        <w:rPr>
          <w:rFonts w:ascii="Verdana" w:hAnsi="Verdana"/>
          <w:color w:val="000000" w:themeColor="text1"/>
        </w:rPr>
        <w:t>.</w:t>
      </w:r>
      <w:r w:rsidR="00DE5100" w:rsidRPr="00DE5100">
        <w:rPr>
          <w:rFonts w:ascii="Verdana" w:hAnsi="Verdana"/>
          <w:color w:val="000000" w:themeColor="text1"/>
        </w:rPr>
        <w:t xml:space="preserve"> </w:t>
      </w:r>
    </w:p>
    <w:p w14:paraId="30CA3045" w14:textId="737F25DA" w:rsidR="00DE5100" w:rsidRDefault="00DE5100" w:rsidP="00DE5100">
      <w:pPr>
        <w:spacing w:after="240" w:line="240" w:lineRule="auto"/>
        <w:jc w:val="both"/>
        <w:rPr>
          <w:rFonts w:ascii="Verdana" w:hAnsi="Verdana"/>
          <w:color w:val="000000" w:themeColor="text1"/>
        </w:rPr>
      </w:pPr>
      <w:r w:rsidRPr="00DE5100">
        <w:rPr>
          <w:rFonts w:ascii="Verdana" w:hAnsi="Verdana"/>
          <w:b/>
          <w:bCs/>
          <w:color w:val="000000" w:themeColor="text1"/>
        </w:rPr>
        <w:t xml:space="preserve">En revanche, </w:t>
      </w:r>
      <w:r w:rsidR="00571A69">
        <w:rPr>
          <w:rFonts w:ascii="Verdana" w:hAnsi="Verdana"/>
          <w:b/>
          <w:bCs/>
          <w:color w:val="000000" w:themeColor="text1"/>
        </w:rPr>
        <w:t xml:space="preserve">selon l’analyse de la DGCL, </w:t>
      </w:r>
      <w:r w:rsidRPr="00DE5100">
        <w:rPr>
          <w:rFonts w:ascii="Verdana" w:hAnsi="Verdana"/>
          <w:b/>
          <w:bCs/>
          <w:color w:val="000000" w:themeColor="text1"/>
        </w:rPr>
        <w:t xml:space="preserve">la souplesse précitée ne permet pas aux </w:t>
      </w:r>
      <w:r>
        <w:rPr>
          <w:rFonts w:ascii="Verdana" w:hAnsi="Verdana"/>
          <w:b/>
          <w:bCs/>
          <w:color w:val="000000" w:themeColor="text1"/>
        </w:rPr>
        <w:t>CDG</w:t>
      </w:r>
      <w:r w:rsidRPr="00DE5100">
        <w:rPr>
          <w:rFonts w:ascii="Verdana" w:hAnsi="Verdana"/>
          <w:b/>
          <w:bCs/>
          <w:color w:val="000000" w:themeColor="text1"/>
        </w:rPr>
        <w:t xml:space="preserve"> de mettre en œuvre le dispositif du référent déontologue pour les élus pour le compte des collectivités qui le souhaiteraient.</w:t>
      </w:r>
    </w:p>
    <w:p w14:paraId="4B0042A5" w14:textId="77777777" w:rsidR="00DF3310" w:rsidRDefault="00DF3310" w:rsidP="00DF3310">
      <w:pPr>
        <w:spacing w:after="0" w:line="240" w:lineRule="auto"/>
        <w:jc w:val="both"/>
        <w:rPr>
          <w:rFonts w:ascii="Verdana" w:eastAsia="Times New Roman" w:hAnsi="Verdana" w:cs="Arial"/>
          <w:noProof/>
          <w:lang w:eastAsia="fr-FR"/>
        </w:rPr>
      </w:pPr>
    </w:p>
    <w:p w14:paraId="33F55950" w14:textId="6FDC01A5" w:rsidR="00DF3310" w:rsidRPr="00DF3310" w:rsidRDefault="00DF3310" w:rsidP="00DF3310">
      <w:pPr>
        <w:spacing w:after="0" w:line="240" w:lineRule="auto"/>
        <w:jc w:val="both"/>
        <w:rPr>
          <w:rFonts w:ascii="Verdana" w:eastAsia="Times New Roman" w:hAnsi="Verdana" w:cs="Arial"/>
          <w:noProof/>
          <w:lang w:eastAsia="fr-FR"/>
        </w:rPr>
      </w:pPr>
      <w:r w:rsidRPr="00DF3310">
        <w:rPr>
          <w:rFonts w:ascii="Verdana" w:eastAsia="Times New Roman" w:hAnsi="Verdana" w:cs="Arial"/>
          <w:noProof/>
          <w:lang w:eastAsia="fr-FR"/>
        </w:rPr>
        <w:lastRenderedPageBreak/>
        <w:t xml:space="preserve">En effet, si les critères de désignation n’interdisent pas expressément le recours à un CDG, celui-ci n’est pas mentionné et, surtout, cette mission n’a pas été attribuée par la loi aux CDG, que ce soit au titre de leurs missions obligatoires ou facultatives, lesquelles sont déterminées par le code général de fonction publique. </w:t>
      </w:r>
    </w:p>
    <w:p w14:paraId="66701679" w14:textId="77777777" w:rsidR="00DF3310" w:rsidRPr="00DF3310" w:rsidRDefault="00DF3310" w:rsidP="00DF3310">
      <w:pPr>
        <w:spacing w:after="0" w:line="240" w:lineRule="auto"/>
        <w:jc w:val="both"/>
        <w:rPr>
          <w:rFonts w:ascii="Verdana" w:eastAsia="Times New Roman" w:hAnsi="Verdana" w:cs="Arial"/>
          <w:noProof/>
          <w:lang w:eastAsia="fr-FR"/>
        </w:rPr>
      </w:pPr>
    </w:p>
    <w:p w14:paraId="0298DE9E" w14:textId="77777777" w:rsidR="00DF3310" w:rsidRDefault="00DF3310" w:rsidP="00DF3310">
      <w:pPr>
        <w:spacing w:after="0" w:line="240" w:lineRule="auto"/>
        <w:jc w:val="both"/>
        <w:rPr>
          <w:rFonts w:ascii="Verdana" w:hAnsi="Verdana"/>
          <w:color w:val="000000" w:themeColor="text1"/>
        </w:rPr>
      </w:pPr>
      <w:r w:rsidRPr="00DF3310">
        <w:rPr>
          <w:rFonts w:ascii="Verdana" w:eastAsia="Times New Roman" w:hAnsi="Verdana" w:cs="Arial"/>
          <w:noProof/>
          <w:lang w:eastAsia="fr-FR"/>
        </w:rPr>
        <w:t>Nous en concluons avec vous qu’aucune base juridique n’autorise un Centre à exercer en propre la mission de référent déontologue de l’élu local.</w:t>
      </w:r>
      <w:r w:rsidR="00DE5100" w:rsidRPr="00DE5100">
        <w:rPr>
          <w:rFonts w:ascii="Verdana" w:hAnsi="Verdana"/>
          <w:color w:val="000000" w:themeColor="text1"/>
        </w:rPr>
        <w:t>au bénéfice des collectivités locales.</w:t>
      </w:r>
    </w:p>
    <w:p w14:paraId="63E83B2F" w14:textId="77777777" w:rsidR="00DF3310" w:rsidRDefault="00DF3310" w:rsidP="00DF3310">
      <w:pPr>
        <w:spacing w:after="0" w:line="240" w:lineRule="auto"/>
        <w:jc w:val="both"/>
        <w:rPr>
          <w:rFonts w:ascii="Verdana" w:hAnsi="Verdana"/>
          <w:color w:val="000000" w:themeColor="text1"/>
        </w:rPr>
      </w:pPr>
    </w:p>
    <w:p w14:paraId="5D614CF9" w14:textId="799BC1D9" w:rsidR="00DF3310" w:rsidRPr="00DF3310" w:rsidRDefault="00571A69" w:rsidP="00DF3310">
      <w:pPr>
        <w:spacing w:after="0" w:line="240" w:lineRule="auto"/>
        <w:jc w:val="both"/>
        <w:rPr>
          <w:rFonts w:ascii="Verdana" w:eastAsia="Times New Roman" w:hAnsi="Verdana" w:cs="Arial"/>
          <w:noProof/>
          <w:lang w:eastAsia="fr-FR"/>
        </w:rPr>
      </w:pPr>
      <w:r>
        <w:rPr>
          <w:rFonts w:ascii="Verdana" w:eastAsia="Times New Roman" w:hAnsi="Verdana" w:cs="Arial"/>
          <w:noProof/>
          <w:lang w:eastAsia="fr-FR"/>
        </w:rPr>
        <w:t>Cependant,</w:t>
      </w:r>
      <w:r w:rsidR="00DF3310" w:rsidRPr="00DF3310">
        <w:rPr>
          <w:rFonts w:ascii="Verdana" w:eastAsia="Times New Roman" w:hAnsi="Verdana" w:cs="Arial"/>
          <w:noProof/>
          <w:lang w:eastAsia="fr-FR"/>
        </w:rPr>
        <w:t xml:space="preserve"> rien n’interdirait au CDG, saisi du sujet par une collectivité, d’orienter cette dernière, pour la désignation du ou des référents déontologues de l’élu local, vers des personnes remplissant les conditions posées par le décret pour exercer cette mission. Tel peut être le cas d’une personne ou d’un collège exerçant déjà les fonctions de référent déontologue de l’agent auprès du CDG mais n’étant pas agent du CDG (magistrat, personnalité qualifiée extérieure, par exemple</w:t>
      </w:r>
      <w:r>
        <w:rPr>
          <w:rFonts w:ascii="Verdana" w:eastAsia="Times New Roman" w:hAnsi="Verdana" w:cs="Arial"/>
          <w:noProof/>
          <w:lang w:eastAsia="fr-FR"/>
        </w:rPr>
        <w:t xml:space="preserve"> sans lien avec la ou les collectivités concernées</w:t>
      </w:r>
      <w:r w:rsidR="00DF3310" w:rsidRPr="00DF3310">
        <w:rPr>
          <w:rFonts w:ascii="Verdana" w:eastAsia="Times New Roman" w:hAnsi="Verdana" w:cs="Arial"/>
          <w:noProof/>
          <w:lang w:eastAsia="fr-FR"/>
        </w:rPr>
        <w:t>).</w:t>
      </w:r>
    </w:p>
    <w:p w14:paraId="51BF0BCE" w14:textId="77777777" w:rsidR="00DF3310" w:rsidRDefault="00DF3310" w:rsidP="00DF3310">
      <w:pPr>
        <w:spacing w:after="0" w:line="240" w:lineRule="auto"/>
        <w:jc w:val="both"/>
        <w:rPr>
          <w:rFonts w:ascii="Verdana" w:hAnsi="Verdana"/>
          <w:color w:val="000000" w:themeColor="text1"/>
        </w:rPr>
      </w:pPr>
    </w:p>
    <w:p w14:paraId="09EF6A79" w14:textId="769B97C9" w:rsidR="00DE5100" w:rsidRPr="00DF3310" w:rsidRDefault="00DE5100" w:rsidP="00DF3310">
      <w:pPr>
        <w:spacing w:after="0" w:line="240" w:lineRule="auto"/>
        <w:jc w:val="both"/>
        <w:rPr>
          <w:rFonts w:ascii="Verdana" w:eastAsia="Times New Roman" w:hAnsi="Verdana" w:cs="Arial"/>
          <w:noProof/>
          <w:lang w:eastAsia="fr-FR"/>
        </w:rPr>
      </w:pPr>
      <w:r w:rsidRPr="00DE5100">
        <w:rPr>
          <w:rFonts w:ascii="Verdana" w:hAnsi="Verdana"/>
          <w:color w:val="000000" w:themeColor="text1"/>
        </w:rPr>
        <w:br/>
      </w:r>
    </w:p>
    <w:p w14:paraId="40D44A65" w14:textId="77777777" w:rsidR="00DE5100" w:rsidRPr="00DE5100" w:rsidRDefault="00DE5100" w:rsidP="00DE5100">
      <w:pPr>
        <w:jc w:val="both"/>
        <w:rPr>
          <w:rFonts w:ascii="Verdana" w:hAnsi="Verdana"/>
          <w:lang w:eastAsia="fr-FR"/>
        </w:rPr>
      </w:pPr>
    </w:p>
    <w:p w14:paraId="28CEA015" w14:textId="77777777" w:rsidR="00DE5100" w:rsidRPr="00DE5100" w:rsidRDefault="00DE5100" w:rsidP="00DE5100">
      <w:pPr>
        <w:jc w:val="both"/>
        <w:rPr>
          <w:rFonts w:ascii="Verdana" w:hAnsi="Verdana"/>
        </w:rPr>
      </w:pPr>
    </w:p>
    <w:sectPr w:rsidR="00DE5100" w:rsidRPr="00DE510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5CA4A" w14:textId="77777777" w:rsidR="00E7537F" w:rsidRDefault="00E7537F" w:rsidP="00DE5100">
      <w:pPr>
        <w:spacing w:after="0" w:line="240" w:lineRule="auto"/>
      </w:pPr>
      <w:r>
        <w:separator/>
      </w:r>
    </w:p>
  </w:endnote>
  <w:endnote w:type="continuationSeparator" w:id="0">
    <w:p w14:paraId="27C48AFB" w14:textId="77777777" w:rsidR="00E7537F" w:rsidRDefault="00E7537F" w:rsidP="00DE5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023350"/>
      <w:docPartObj>
        <w:docPartGallery w:val="Page Numbers (Bottom of Page)"/>
        <w:docPartUnique/>
      </w:docPartObj>
    </w:sdtPr>
    <w:sdtContent>
      <w:p w14:paraId="12F4B200" w14:textId="2A75D05F" w:rsidR="00DE5100" w:rsidRDefault="00DE5100">
        <w:pPr>
          <w:pStyle w:val="Pieddepage"/>
          <w:jc w:val="center"/>
        </w:pPr>
        <w:r>
          <w:fldChar w:fldCharType="begin"/>
        </w:r>
        <w:r>
          <w:instrText>PAGE   \* MERGEFORMAT</w:instrText>
        </w:r>
        <w:r>
          <w:fldChar w:fldCharType="separate"/>
        </w:r>
        <w:r>
          <w:t>2</w:t>
        </w:r>
        <w:r>
          <w:fldChar w:fldCharType="end"/>
        </w:r>
      </w:p>
    </w:sdtContent>
  </w:sdt>
  <w:p w14:paraId="54F35C4C" w14:textId="4111C6B1" w:rsidR="00DE5100" w:rsidRDefault="00DE5100">
    <w:pPr>
      <w:pStyle w:val="Pieddepage"/>
    </w:pPr>
    <w:r>
      <w:tab/>
    </w:r>
    <w:r>
      <w:tab/>
      <w:t xml:space="preserve">FNCDG – Référent déontologue élu local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6D320" w14:textId="77777777" w:rsidR="00E7537F" w:rsidRDefault="00E7537F" w:rsidP="00DE5100">
      <w:pPr>
        <w:spacing w:after="0" w:line="240" w:lineRule="auto"/>
      </w:pPr>
      <w:r>
        <w:separator/>
      </w:r>
    </w:p>
  </w:footnote>
  <w:footnote w:type="continuationSeparator" w:id="0">
    <w:p w14:paraId="63C75EF3" w14:textId="77777777" w:rsidR="00E7537F" w:rsidRDefault="00E7537F" w:rsidP="00DE51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646"/>
    <w:rsid w:val="00106DB0"/>
    <w:rsid w:val="00286646"/>
    <w:rsid w:val="00571A69"/>
    <w:rsid w:val="00CE6F11"/>
    <w:rsid w:val="00DE5100"/>
    <w:rsid w:val="00DF3310"/>
    <w:rsid w:val="00E753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96297"/>
  <w15:chartTrackingRefBased/>
  <w15:docId w15:val="{4D86900D-188C-4418-8900-058AC92C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E5100"/>
    <w:rPr>
      <w:color w:val="0563C1"/>
      <w:u w:val="single"/>
    </w:rPr>
  </w:style>
  <w:style w:type="paragraph" w:styleId="En-tte">
    <w:name w:val="header"/>
    <w:basedOn w:val="Normal"/>
    <w:link w:val="En-tteCar"/>
    <w:uiPriority w:val="99"/>
    <w:unhideWhenUsed/>
    <w:rsid w:val="00DE5100"/>
    <w:pPr>
      <w:tabs>
        <w:tab w:val="center" w:pos="4536"/>
        <w:tab w:val="right" w:pos="9072"/>
      </w:tabs>
      <w:spacing w:after="0" w:line="240" w:lineRule="auto"/>
    </w:pPr>
  </w:style>
  <w:style w:type="character" w:customStyle="1" w:styleId="En-tteCar">
    <w:name w:val="En-tête Car"/>
    <w:basedOn w:val="Policepardfaut"/>
    <w:link w:val="En-tte"/>
    <w:uiPriority w:val="99"/>
    <w:rsid w:val="00DE5100"/>
  </w:style>
  <w:style w:type="paragraph" w:styleId="Pieddepage">
    <w:name w:val="footer"/>
    <w:basedOn w:val="Normal"/>
    <w:link w:val="PieddepageCar"/>
    <w:uiPriority w:val="99"/>
    <w:unhideWhenUsed/>
    <w:rsid w:val="00DE510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E5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00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codes/article_lc/LEGIARTI00004521415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egifrance.gouv.fr/jorf/id/JORFTEXT00004519739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legifrance.gouv.fr/codes/article_lc/LEGIARTI000031111784" TargetMode="External"/><Relationship Id="rId4" Type="http://schemas.openxmlformats.org/officeDocument/2006/relationships/footnotes" Target="footnotes.xml"/><Relationship Id="rId9" Type="http://schemas.openxmlformats.org/officeDocument/2006/relationships/hyperlink" Target="https://www.legifrance.gouv.fr/jorf/id/JORFTEXT00004669074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529</Words>
  <Characters>2911</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Juriste</dc:creator>
  <cp:keywords/>
  <dc:description/>
  <cp:lastModifiedBy>Christelle</cp:lastModifiedBy>
  <cp:revision>4</cp:revision>
  <dcterms:created xsi:type="dcterms:W3CDTF">2023-03-01T16:52:00Z</dcterms:created>
  <dcterms:modified xsi:type="dcterms:W3CDTF">2023-03-03T14:47:00Z</dcterms:modified>
</cp:coreProperties>
</file>