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44D509" w14:textId="01E9D1D9" w:rsidR="00903D3E" w:rsidRDefault="00903D3E" w:rsidP="00903D3E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 w:cs="Times New Roman"/>
          <w:color w:val="000000"/>
          <w:sz w:val="52"/>
          <w:szCs w:val="52"/>
        </w:rPr>
      </w:pPr>
      <w:r>
        <w:rPr>
          <w:rFonts w:ascii="Times New Roman" w:hAnsi="Times New Roman" w:cs="Times New Roman"/>
          <w:color w:val="000000"/>
          <w:sz w:val="52"/>
          <w:szCs w:val="52"/>
        </w:rPr>
        <w:t>SÉNAT</w:t>
      </w:r>
    </w:p>
    <w:p w14:paraId="7E2C8B13" w14:textId="77777777" w:rsidR="005F43F6" w:rsidRPr="007C75B6" w:rsidRDefault="005F43F6" w:rsidP="005F43F6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7C75B6">
        <w:rPr>
          <w:rFonts w:ascii="Times New Roman" w:hAnsi="Times New Roman" w:cs="Times New Roman"/>
          <w:sz w:val="24"/>
          <w:szCs w:val="24"/>
        </w:rPr>
        <w:t>______________________________________________________________</w:t>
      </w:r>
      <w:r w:rsidRPr="007C75B6">
        <w:rPr>
          <w:rFonts w:ascii="Times New Roman" w:hAnsi="Times New Roman" w:cs="Times New Roman"/>
          <w:color w:val="000000"/>
          <w:sz w:val="24"/>
          <w:szCs w:val="24"/>
        </w:rPr>
        <w:t>_____</w:t>
      </w:r>
    </w:p>
    <w:p w14:paraId="51C65C80" w14:textId="3A946F43" w:rsidR="00A60A2C" w:rsidRPr="00155C7A" w:rsidRDefault="00A60A2C" w:rsidP="005F43F6">
      <w:pPr>
        <w:pStyle w:val="NormalWeb"/>
        <w:jc w:val="center"/>
        <w:rPr>
          <w:i/>
          <w:iCs/>
          <w:color w:val="000000"/>
          <w:sz w:val="32"/>
          <w:szCs w:val="32"/>
        </w:rPr>
      </w:pPr>
      <w:r w:rsidRPr="00A60A2C">
        <w:rPr>
          <w:i/>
          <w:iCs/>
          <w:color w:val="000000"/>
          <w:sz w:val="32"/>
          <w:szCs w:val="32"/>
        </w:rPr>
        <w:t>Projet de loi de financement rectificative de la sécurité sociale</w:t>
      </w:r>
      <w:r>
        <w:rPr>
          <w:i/>
          <w:iCs/>
          <w:color w:val="000000"/>
          <w:sz w:val="32"/>
          <w:szCs w:val="32"/>
        </w:rPr>
        <w:t xml:space="preserve"> – (N°</w:t>
      </w:r>
      <w:r w:rsidR="00822506">
        <w:rPr>
          <w:i/>
          <w:iCs/>
          <w:color w:val="000000"/>
          <w:sz w:val="32"/>
          <w:szCs w:val="32"/>
        </w:rPr>
        <w:t>368</w:t>
      </w:r>
      <w:r>
        <w:rPr>
          <w:i/>
          <w:iCs/>
          <w:color w:val="000000"/>
          <w:sz w:val="32"/>
          <w:szCs w:val="32"/>
        </w:rPr>
        <w:t>)</w:t>
      </w:r>
    </w:p>
    <w:p w14:paraId="71D1DEDD" w14:textId="63403456" w:rsidR="005F43F6" w:rsidRPr="00155C7A" w:rsidRDefault="005F43F6" w:rsidP="005F43F6">
      <w:pPr>
        <w:widowControl w:val="0"/>
        <w:autoSpaceDE w:val="0"/>
        <w:autoSpaceDN w:val="0"/>
        <w:adjustRightInd w:val="0"/>
        <w:spacing w:before="200" w:after="200" w:line="276" w:lineRule="auto"/>
        <w:ind w:left="200" w:right="200"/>
        <w:jc w:val="center"/>
        <w:rPr>
          <w:rFonts w:ascii="Times New Roman" w:hAnsi="Times New Roman" w:cs="Times New Roman"/>
          <w:b/>
          <w:bCs/>
          <w:i/>
          <w:iCs/>
          <w:color w:val="000000"/>
          <w:sz w:val="32"/>
          <w:szCs w:val="32"/>
        </w:rPr>
      </w:pPr>
      <w:r w:rsidRPr="00155C7A">
        <w:rPr>
          <w:rFonts w:ascii="Times New Roman" w:hAnsi="Times New Roman" w:cs="Times New Roman"/>
          <w:b/>
          <w:bCs/>
          <w:i/>
          <w:iCs/>
          <w:color w:val="000000"/>
          <w:sz w:val="32"/>
          <w:szCs w:val="32"/>
        </w:rPr>
        <w:t>AMENDEMENT N°</w:t>
      </w:r>
      <w:r w:rsidR="00FB7E4A" w:rsidRPr="00FB7E4A">
        <w:rPr>
          <w:rFonts w:ascii="Times New Roman" w:hAnsi="Times New Roman" w:cs="Times New Roman"/>
          <w:b/>
          <w:bCs/>
          <w:i/>
          <w:iCs/>
          <w:color w:val="000000"/>
          <w:sz w:val="32"/>
          <w:szCs w:val="32"/>
          <w:highlight w:val="yellow"/>
        </w:rPr>
        <w:t>XXX</w:t>
      </w:r>
      <w:r w:rsidRPr="00155C7A">
        <w:rPr>
          <w:rFonts w:ascii="Times New Roman" w:hAnsi="Times New Roman" w:cs="Times New Roman"/>
          <w:b/>
          <w:bCs/>
          <w:i/>
          <w:iCs/>
          <w:color w:val="000000"/>
          <w:sz w:val="32"/>
          <w:szCs w:val="32"/>
        </w:rPr>
        <w:br/>
      </w:r>
      <w:r w:rsidRPr="00155C7A">
        <w:rPr>
          <w:rFonts w:ascii="Times New Roman" w:hAnsi="Times New Roman" w:cs="Times New Roman"/>
          <w:color w:val="000000"/>
          <w:sz w:val="24"/>
          <w:szCs w:val="24"/>
        </w:rPr>
        <w:t>présenté par</w:t>
      </w:r>
    </w:p>
    <w:p w14:paraId="1B5FC0D2" w14:textId="77777777" w:rsidR="005F43F6" w:rsidRPr="00155C7A" w:rsidRDefault="005F43F6" w:rsidP="005F43F6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 w:cs="Times New Roman"/>
          <w:i/>
          <w:iCs/>
          <w:color w:val="000000"/>
          <w:sz w:val="20"/>
          <w:szCs w:val="20"/>
        </w:rPr>
      </w:pPr>
      <w:r w:rsidRPr="00155C7A">
        <w:rPr>
          <w:rFonts w:ascii="Times New Roman" w:hAnsi="Times New Roman" w:cs="Times New Roman"/>
          <w:i/>
          <w:iCs/>
          <w:color w:val="000000"/>
          <w:sz w:val="20"/>
          <w:szCs w:val="20"/>
        </w:rPr>
        <w:t>____________</w:t>
      </w:r>
    </w:p>
    <w:p w14:paraId="4374E792" w14:textId="77777777" w:rsidR="005F43F6" w:rsidRPr="00155C7A" w:rsidRDefault="005F43F6" w:rsidP="005F43F6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76E4971D" w14:textId="77777777" w:rsidR="005F43F6" w:rsidRPr="00155C7A" w:rsidRDefault="005F43F6" w:rsidP="005F43F6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3A8633E3" w14:textId="4F1931DC" w:rsidR="005F43F6" w:rsidRPr="005B1627" w:rsidRDefault="005F43F6" w:rsidP="005F43F6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ARTICLE </w:t>
      </w:r>
      <w:r w:rsidR="00201492">
        <w:rPr>
          <w:rFonts w:ascii="Times New Roman" w:hAnsi="Times New Roman" w:cs="Times New Roman"/>
          <w:b/>
          <w:bCs/>
          <w:color w:val="000000"/>
          <w:sz w:val="28"/>
          <w:szCs w:val="28"/>
        </w:rPr>
        <w:t>6 – RAPPORT ANNEXE</w:t>
      </w:r>
    </w:p>
    <w:p w14:paraId="5F5904B3" w14:textId="41BFB3A8" w:rsidR="007478FA" w:rsidRDefault="007478FA" w:rsidP="005F43F6">
      <w:pPr>
        <w:pStyle w:val="NormalWeb"/>
        <w:spacing w:line="276" w:lineRule="auto"/>
        <w:jc w:val="both"/>
      </w:pPr>
      <w:r>
        <w:t xml:space="preserve">I. </w:t>
      </w:r>
      <w:r w:rsidR="00201492">
        <w:t xml:space="preserve">A l’alinéa 11 de l’annexe, </w:t>
      </w:r>
      <w:r w:rsidR="00D974BF">
        <w:t>supprimer les mots « par les employeurs publics (CNRACL)</w:t>
      </w:r>
      <w:r w:rsidR="00B60E95">
        <w:t> </w:t>
      </w:r>
      <w:r w:rsidR="00C854CE">
        <w:t xml:space="preserve">et </w:t>
      </w:r>
      <w:r w:rsidR="00B60E95">
        <w:t>»</w:t>
      </w:r>
      <w:r w:rsidR="00A0434A">
        <w:t xml:space="preserve"> et les mots « pour ces derniers ». </w:t>
      </w:r>
    </w:p>
    <w:p w14:paraId="47DE1C34" w14:textId="0B15C1D3" w:rsidR="007478FA" w:rsidRDefault="007478FA" w:rsidP="005F43F6">
      <w:pPr>
        <w:pStyle w:val="NormalWeb"/>
        <w:spacing w:line="276" w:lineRule="auto"/>
        <w:jc w:val="both"/>
      </w:pPr>
      <w:r>
        <w:t xml:space="preserve">II. En </w:t>
      </w:r>
      <w:r w:rsidR="0049307B">
        <w:t>conséquence</w:t>
      </w:r>
      <w:r>
        <w:t xml:space="preserve">, supprimer la deuxième phrase de l’alinéa 22.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66952" w14:paraId="25A51A05" w14:textId="77777777" w:rsidTr="00B66952">
        <w:tc>
          <w:tcPr>
            <w:tcW w:w="9062" w:type="dxa"/>
          </w:tcPr>
          <w:p w14:paraId="6A07F94B" w14:textId="1D62A23A" w:rsidR="00B66952" w:rsidRPr="00EB7AE5" w:rsidRDefault="00DD540D" w:rsidP="00EB7AE5">
            <w:pPr>
              <w:pStyle w:val="NormalWeb"/>
              <w:spacing w:line="276" w:lineRule="auto"/>
              <w:jc w:val="center"/>
              <w:rPr>
                <w:rFonts w:asciiTheme="minorHAnsi" w:hAnsiTheme="minorHAnsi" w:cstheme="minorHAnsi"/>
                <w:i/>
                <w:iCs/>
                <w:sz w:val="22"/>
                <w:szCs w:val="22"/>
                <w:u w:val="single"/>
              </w:rPr>
            </w:pPr>
            <w:r>
              <w:rPr>
                <w:rFonts w:asciiTheme="minorHAnsi" w:hAnsiTheme="minorHAnsi" w:cstheme="minorHAnsi"/>
                <w:i/>
                <w:iCs/>
                <w:sz w:val="22"/>
                <w:szCs w:val="22"/>
                <w:u w:val="single"/>
              </w:rPr>
              <w:t>[pour information] Modification</w:t>
            </w:r>
            <w:r w:rsidR="001C44EC">
              <w:rPr>
                <w:rFonts w:asciiTheme="minorHAnsi" w:hAnsiTheme="minorHAnsi" w:cstheme="minorHAnsi"/>
                <w:i/>
                <w:iCs/>
                <w:sz w:val="22"/>
                <w:szCs w:val="22"/>
                <w:u w:val="single"/>
              </w:rPr>
              <w:t>s</w:t>
            </w:r>
            <w:r w:rsidR="00B66952" w:rsidRPr="00EB7AE5">
              <w:rPr>
                <w:rFonts w:asciiTheme="minorHAnsi" w:hAnsiTheme="minorHAnsi" w:cstheme="minorHAnsi"/>
                <w:i/>
                <w:iCs/>
                <w:sz w:val="22"/>
                <w:szCs w:val="22"/>
                <w:u w:val="single"/>
              </w:rPr>
              <w:t xml:space="preserve"> proposé</w:t>
            </w:r>
            <w:r>
              <w:rPr>
                <w:rFonts w:asciiTheme="minorHAnsi" w:hAnsiTheme="minorHAnsi" w:cstheme="minorHAnsi"/>
                <w:i/>
                <w:iCs/>
                <w:sz w:val="22"/>
                <w:szCs w:val="22"/>
                <w:u w:val="single"/>
              </w:rPr>
              <w:t>e</w:t>
            </w:r>
            <w:r w:rsidR="001C44EC">
              <w:rPr>
                <w:rFonts w:asciiTheme="minorHAnsi" w:hAnsiTheme="minorHAnsi" w:cstheme="minorHAnsi"/>
                <w:i/>
                <w:iCs/>
                <w:sz w:val="22"/>
                <w:szCs w:val="22"/>
                <w:u w:val="single"/>
              </w:rPr>
              <w:t>s</w:t>
            </w:r>
            <w:r w:rsidR="00B66952" w:rsidRPr="00EB7AE5">
              <w:rPr>
                <w:rFonts w:asciiTheme="minorHAnsi" w:hAnsiTheme="minorHAnsi" w:cstheme="minorHAnsi"/>
                <w:i/>
                <w:iCs/>
                <w:sz w:val="22"/>
                <w:szCs w:val="22"/>
                <w:u w:val="single"/>
              </w:rPr>
              <w:t> :</w:t>
            </w:r>
          </w:p>
          <w:p w14:paraId="7CAD61CA" w14:textId="62C50AE9" w:rsidR="00B60E95" w:rsidRDefault="00C854CE" w:rsidP="00201492">
            <w:pPr>
              <w:autoSpaceDE w:val="0"/>
              <w:autoSpaceDN w:val="0"/>
              <w:adjustRightInd w:val="0"/>
              <w:jc w:val="both"/>
              <w:rPr>
                <w:i/>
                <w:iCs/>
              </w:rPr>
            </w:pPr>
            <w:r w:rsidRPr="00C854CE">
              <w:rPr>
                <w:i/>
                <w:iCs/>
              </w:rPr>
              <w:t>La réforme emporte également des mesures en recettes, avec des hausses des taux des cotisations vieillesse dues</w:t>
            </w:r>
            <w:r w:rsidRPr="00C854CE">
              <w:rPr>
                <w:i/>
                <w:iCs/>
                <w:color w:val="00B050"/>
              </w:rPr>
              <w:t xml:space="preserve"> </w:t>
            </w:r>
            <w:r w:rsidRPr="00C854CE">
              <w:rPr>
                <w:i/>
                <w:iCs/>
                <w:strike/>
                <w:color w:val="00B050"/>
              </w:rPr>
              <w:t>par les employeurs publics (CNRACL) et</w:t>
            </w:r>
            <w:r w:rsidRPr="00C854CE">
              <w:rPr>
                <w:i/>
                <w:iCs/>
              </w:rPr>
              <w:t xml:space="preserve"> par les employeurs privés, cette hausse étant compensée </w:t>
            </w:r>
            <w:r w:rsidRPr="00A0434A">
              <w:rPr>
                <w:i/>
                <w:iCs/>
                <w:strike/>
                <w:color w:val="00B050"/>
              </w:rPr>
              <w:t>pour ces derniers</w:t>
            </w:r>
            <w:r w:rsidRPr="00A0434A">
              <w:rPr>
                <w:i/>
                <w:iCs/>
                <w:color w:val="00B050"/>
              </w:rPr>
              <w:t xml:space="preserve"> </w:t>
            </w:r>
            <w:r w:rsidRPr="00C854CE">
              <w:rPr>
                <w:i/>
                <w:iCs/>
              </w:rPr>
              <w:t>par une baisse à due concurrence des cotisations AT</w:t>
            </w:r>
            <w:r w:rsidRPr="00C854CE">
              <w:rPr>
                <w:i/>
                <w:iCs/>
              </w:rPr>
              <w:noBreakHyphen/>
              <w:t>MP.</w:t>
            </w:r>
          </w:p>
          <w:p w14:paraId="3C4073E5" w14:textId="0FAAFD93" w:rsidR="00FB7E4A" w:rsidRDefault="00FB7E4A" w:rsidP="00201492">
            <w:pPr>
              <w:autoSpaceDE w:val="0"/>
              <w:autoSpaceDN w:val="0"/>
              <w:adjustRightInd w:val="0"/>
              <w:jc w:val="both"/>
              <w:rPr>
                <w:i/>
                <w:iCs/>
              </w:rPr>
            </w:pPr>
          </w:p>
          <w:p w14:paraId="544F3783" w14:textId="143DBE42" w:rsidR="00FB7E4A" w:rsidRPr="00FB7E4A" w:rsidRDefault="00FB7E4A" w:rsidP="00FB7E4A">
            <w:pPr>
              <w:autoSpaceDE w:val="0"/>
              <w:autoSpaceDN w:val="0"/>
              <w:adjustRightInd w:val="0"/>
              <w:jc w:val="both"/>
              <w:rPr>
                <w:i/>
                <w:iCs/>
              </w:rPr>
            </w:pPr>
            <w:r w:rsidRPr="00FB7E4A">
              <w:rPr>
                <w:i/>
                <w:iCs/>
              </w:rPr>
              <w:t>Le projet de loi prévoit un financement du fonds de prévention à l’usure</w:t>
            </w:r>
            <w:r>
              <w:rPr>
                <w:i/>
                <w:iCs/>
              </w:rPr>
              <w:t xml:space="preserve"> </w:t>
            </w:r>
            <w:r w:rsidRPr="00FB7E4A">
              <w:rPr>
                <w:i/>
                <w:iCs/>
              </w:rPr>
              <w:t>professionnelle en soutien aux employeurs des établissements publics de santé et</w:t>
            </w:r>
            <w:r>
              <w:rPr>
                <w:i/>
                <w:iCs/>
              </w:rPr>
              <w:t xml:space="preserve"> </w:t>
            </w:r>
            <w:r w:rsidRPr="00FB7E4A">
              <w:rPr>
                <w:i/>
                <w:iCs/>
              </w:rPr>
              <w:t xml:space="preserve">médico-sociaux. </w:t>
            </w:r>
            <w:r w:rsidRPr="00FB7E4A">
              <w:rPr>
                <w:i/>
                <w:iCs/>
                <w:strike/>
                <w:color w:val="00B050"/>
              </w:rPr>
              <w:t>Les effets et le financement de la hausse du taux des cotisations vieillesse CNRACL sont intégrés dans la trajectoire</w:t>
            </w:r>
            <w:r w:rsidRPr="00FB7E4A">
              <w:rPr>
                <w:i/>
                <w:iCs/>
              </w:rPr>
              <w:t>. La branche Maladie verrait son solde</w:t>
            </w:r>
            <w:r>
              <w:rPr>
                <w:i/>
                <w:iCs/>
              </w:rPr>
              <w:t xml:space="preserve"> </w:t>
            </w:r>
            <w:r w:rsidRPr="00FB7E4A">
              <w:rPr>
                <w:i/>
                <w:iCs/>
              </w:rPr>
              <w:t>s’améliorer continuellement à l’horizon 2026, en raison à la fois de recettes dynamiques</w:t>
            </w:r>
            <w:r>
              <w:rPr>
                <w:i/>
                <w:iCs/>
              </w:rPr>
              <w:t xml:space="preserve"> </w:t>
            </w:r>
            <w:r w:rsidRPr="00FB7E4A">
              <w:rPr>
                <w:i/>
                <w:iCs/>
              </w:rPr>
              <w:t>et de dépenses évoluant de manière contenue. En 2026, son déficit s’établirait à</w:t>
            </w:r>
          </w:p>
          <w:p w14:paraId="2DCE9AAA" w14:textId="091B55B4" w:rsidR="00FB7E4A" w:rsidRPr="00C854CE" w:rsidRDefault="00FB7E4A" w:rsidP="00FB7E4A">
            <w:pPr>
              <w:autoSpaceDE w:val="0"/>
              <w:autoSpaceDN w:val="0"/>
              <w:adjustRightInd w:val="0"/>
              <w:jc w:val="both"/>
              <w:rPr>
                <w:i/>
                <w:iCs/>
              </w:rPr>
            </w:pPr>
            <w:r w:rsidRPr="00FB7E4A">
              <w:rPr>
                <w:i/>
                <w:iCs/>
              </w:rPr>
              <w:t>3,2 milliards d’euro</w:t>
            </w:r>
            <w:r>
              <w:rPr>
                <w:i/>
                <w:iCs/>
              </w:rPr>
              <w:t>s.</w:t>
            </w:r>
          </w:p>
          <w:p w14:paraId="4DC55044" w14:textId="6C2FB130" w:rsidR="00C854CE" w:rsidRPr="00201492" w:rsidRDefault="00C854CE" w:rsidP="00201492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i/>
                <w:iCs/>
              </w:rPr>
            </w:pPr>
          </w:p>
        </w:tc>
      </w:tr>
    </w:tbl>
    <w:p w14:paraId="04F868ED" w14:textId="77777777" w:rsidR="005F43F6" w:rsidRDefault="005F43F6" w:rsidP="005F43F6">
      <w:pPr>
        <w:spacing w:line="276" w:lineRule="auto"/>
        <w:jc w:val="both"/>
        <w:rPr>
          <w:color w:val="00B050"/>
        </w:rPr>
      </w:pPr>
    </w:p>
    <w:p w14:paraId="48DDF096" w14:textId="77777777" w:rsidR="005F43F6" w:rsidRPr="006D77F6" w:rsidRDefault="005F43F6" w:rsidP="005F43F6">
      <w:pPr>
        <w:spacing w:line="276" w:lineRule="auto"/>
        <w:jc w:val="both"/>
        <w:rPr>
          <w:color w:val="00B050"/>
        </w:rPr>
      </w:pPr>
    </w:p>
    <w:p w14:paraId="056395F1" w14:textId="77777777" w:rsidR="005F43F6" w:rsidRDefault="005F43F6" w:rsidP="005F43F6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93A71">
        <w:rPr>
          <w:rFonts w:ascii="Times New Roman" w:hAnsi="Times New Roman" w:cs="Times New Roman"/>
          <w:b/>
          <w:bCs/>
          <w:sz w:val="24"/>
          <w:szCs w:val="24"/>
        </w:rPr>
        <w:t>EXPOSÉ SOMMAIRE</w:t>
      </w:r>
    </w:p>
    <w:p w14:paraId="43893B7E" w14:textId="77777777" w:rsidR="00BD22D1" w:rsidRDefault="00BD22D1" w:rsidP="00BD22D1">
      <w:pPr>
        <w:pStyle w:val="NormalWeb"/>
        <w:spacing w:before="0" w:beforeAutospacing="0" w:after="0" w:afterAutospacing="0"/>
        <w:jc w:val="both"/>
      </w:pPr>
    </w:p>
    <w:p w14:paraId="01A8A478" w14:textId="77777777" w:rsidR="00695DC1" w:rsidRDefault="00695DC1" w:rsidP="00695DC1">
      <w:pPr>
        <w:pStyle w:val="NormalWeb"/>
        <w:spacing w:before="0" w:beforeAutospacing="0" w:after="0" w:afterAutospacing="0" w:line="276" w:lineRule="auto"/>
        <w:jc w:val="both"/>
      </w:pPr>
      <w:r w:rsidRPr="006857E0">
        <w:t>Concomitamment au texte, il est prévu dans la trajectoire une hausse des cotisations vieillesse dues par les employeurs publics à la Caisse nationale de retraites des agents des collectivités locales</w:t>
      </w:r>
      <w:r>
        <w:t xml:space="preserve"> (CNRACL)</w:t>
      </w:r>
      <w:r w:rsidRPr="006857E0">
        <w:t xml:space="preserve">. </w:t>
      </w:r>
    </w:p>
    <w:p w14:paraId="3DBA31C3" w14:textId="77777777" w:rsidR="00695DC1" w:rsidRPr="006857E0" w:rsidRDefault="00695DC1" w:rsidP="00695DC1">
      <w:pPr>
        <w:pStyle w:val="NormalWeb"/>
        <w:spacing w:before="0" w:beforeAutospacing="0" w:after="0" w:afterAutospacing="0" w:line="276" w:lineRule="auto"/>
        <w:jc w:val="both"/>
      </w:pPr>
    </w:p>
    <w:p w14:paraId="2B13D917" w14:textId="77777777" w:rsidR="00695DC1" w:rsidRPr="006857E0" w:rsidRDefault="00695DC1" w:rsidP="00695DC1">
      <w:pPr>
        <w:spacing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fr-FR"/>
        </w:rPr>
      </w:pPr>
      <w:r w:rsidRPr="006857E0">
        <w:rPr>
          <w:rFonts w:ascii="Times New Roman" w:eastAsia="Calibri" w:hAnsi="Times New Roman" w:cs="Times New Roman"/>
          <w:sz w:val="24"/>
          <w:szCs w:val="24"/>
          <w:lang w:eastAsia="fr-FR"/>
        </w:rPr>
        <w:t xml:space="preserve">Sans même préjuger de l’opinion que chaque employeur territorial peut porter sur l’opportunité du report de l’âge de départ à la retraite, cette hausse immédiate du taux de cotisation à la CNRACL n’a fait l’objet d’aucune concertation préalable des employeurs publics rassemblés au sein de la Coordination des employeurs territoriaux, laquelle a unanimement exprimé son opposition à cette mesure, compte-tenu des effets induits par la réforme du fait du maintien </w:t>
      </w:r>
      <w:r w:rsidRPr="006857E0">
        <w:rPr>
          <w:rFonts w:ascii="Times New Roman" w:eastAsia="Calibri" w:hAnsi="Times New Roman" w:cs="Times New Roman"/>
          <w:sz w:val="24"/>
          <w:szCs w:val="24"/>
          <w:lang w:eastAsia="fr-FR"/>
        </w:rPr>
        <w:lastRenderedPageBreak/>
        <w:t>prolongé en activité de leurs agents (notamment, transfert de charges assurantielles supportées par les collectivités).</w:t>
      </w:r>
    </w:p>
    <w:p w14:paraId="337BFEBB" w14:textId="77777777" w:rsidR="00695DC1" w:rsidRDefault="00695DC1" w:rsidP="00695DC1">
      <w:pPr>
        <w:spacing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fr-FR"/>
        </w:rPr>
      </w:pPr>
    </w:p>
    <w:p w14:paraId="36E80854" w14:textId="173087EA" w:rsidR="00695DC1" w:rsidRPr="0019463B" w:rsidRDefault="00695DC1" w:rsidP="00695DC1">
      <w:pPr>
        <w:spacing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fr-FR"/>
        </w:rPr>
      </w:pPr>
      <w:r w:rsidRPr="0019463B">
        <w:rPr>
          <w:rFonts w:ascii="Times New Roman" w:eastAsia="Calibri" w:hAnsi="Times New Roman" w:cs="Times New Roman"/>
          <w:sz w:val="24"/>
          <w:szCs w:val="24"/>
          <w:lang w:eastAsia="fr-FR"/>
        </w:rPr>
        <w:t>Le Gouvernement s’est engagé</w:t>
      </w:r>
      <w:r w:rsidR="00526A63" w:rsidRPr="0019463B">
        <w:rPr>
          <w:rFonts w:ascii="Times New Roman" w:eastAsia="Calibri" w:hAnsi="Times New Roman" w:cs="Times New Roman"/>
          <w:sz w:val="24"/>
          <w:szCs w:val="24"/>
          <w:lang w:eastAsia="fr-FR"/>
        </w:rPr>
        <w:t>,</w:t>
      </w:r>
      <w:r w:rsidRPr="0019463B">
        <w:rPr>
          <w:rFonts w:ascii="Times New Roman" w:eastAsia="Calibri" w:hAnsi="Times New Roman" w:cs="Times New Roman"/>
          <w:sz w:val="24"/>
          <w:szCs w:val="24"/>
          <w:lang w:eastAsia="fr-FR"/>
        </w:rPr>
        <w:t xml:space="preserve"> par un courrier de la Première Ministre</w:t>
      </w:r>
      <w:r w:rsidRPr="0019463B">
        <w:rPr>
          <w:rFonts w:ascii="Times New Roman" w:eastAsia="Calibri" w:hAnsi="Times New Roman" w:cs="Times New Roman"/>
          <w:sz w:val="24"/>
          <w:szCs w:val="24"/>
          <w:lang w:eastAsia="fr-FR"/>
        </w:rPr>
        <w:t xml:space="preserve"> en date du 25 janvier 2023</w:t>
      </w:r>
      <w:r w:rsidR="00526A63" w:rsidRPr="0019463B">
        <w:rPr>
          <w:rFonts w:ascii="Times New Roman" w:eastAsia="Calibri" w:hAnsi="Times New Roman" w:cs="Times New Roman"/>
          <w:sz w:val="24"/>
          <w:szCs w:val="24"/>
          <w:lang w:eastAsia="fr-FR"/>
        </w:rPr>
        <w:t>,</w:t>
      </w:r>
      <w:r w:rsidRPr="0019463B">
        <w:rPr>
          <w:rFonts w:ascii="Times New Roman" w:eastAsia="Calibri" w:hAnsi="Times New Roman" w:cs="Times New Roman"/>
          <w:sz w:val="24"/>
          <w:szCs w:val="24"/>
          <w:lang w:eastAsia="fr-FR"/>
        </w:rPr>
        <w:t xml:space="preserve"> à compenser intégralement aux employeurs territoriaux cette hausse de cotisation, sans que le véhicule de cette compensation soit à ce jour arbitré. </w:t>
      </w:r>
      <w:r w:rsidR="00100EA9" w:rsidRPr="0019463B">
        <w:rPr>
          <w:rFonts w:ascii="Times New Roman" w:eastAsia="Calibri" w:hAnsi="Times New Roman" w:cs="Times New Roman"/>
          <w:sz w:val="24"/>
          <w:szCs w:val="24"/>
          <w:lang w:eastAsia="fr-FR"/>
        </w:rPr>
        <w:t>I</w:t>
      </w:r>
      <w:r w:rsidRPr="0019463B">
        <w:rPr>
          <w:rFonts w:ascii="Times New Roman" w:eastAsia="Calibri" w:hAnsi="Times New Roman" w:cs="Times New Roman"/>
          <w:sz w:val="24"/>
          <w:szCs w:val="24"/>
          <w:lang w:eastAsia="fr-FR"/>
        </w:rPr>
        <w:t>l a</w:t>
      </w:r>
      <w:r w:rsidR="00100EA9" w:rsidRPr="0019463B">
        <w:rPr>
          <w:rFonts w:ascii="Times New Roman" w:eastAsia="Calibri" w:hAnsi="Times New Roman" w:cs="Times New Roman"/>
          <w:sz w:val="24"/>
          <w:szCs w:val="24"/>
          <w:lang w:eastAsia="fr-FR"/>
        </w:rPr>
        <w:t xml:space="preserve"> par ailleurs</w:t>
      </w:r>
      <w:r w:rsidRPr="0019463B">
        <w:rPr>
          <w:rFonts w:ascii="Times New Roman" w:eastAsia="Calibri" w:hAnsi="Times New Roman" w:cs="Times New Roman"/>
          <w:sz w:val="24"/>
          <w:szCs w:val="24"/>
          <w:lang w:eastAsia="fr-FR"/>
        </w:rPr>
        <w:t xml:space="preserve"> été confirmé aux associations membres de la Coordination des </w:t>
      </w:r>
      <w:r w:rsidR="00100EA9" w:rsidRPr="0019463B">
        <w:rPr>
          <w:rFonts w:ascii="Times New Roman" w:eastAsia="Calibri" w:hAnsi="Times New Roman" w:cs="Times New Roman"/>
          <w:sz w:val="24"/>
          <w:szCs w:val="24"/>
          <w:lang w:eastAsia="fr-FR"/>
        </w:rPr>
        <w:t>e</w:t>
      </w:r>
      <w:r w:rsidRPr="0019463B">
        <w:rPr>
          <w:rFonts w:ascii="Times New Roman" w:eastAsia="Calibri" w:hAnsi="Times New Roman" w:cs="Times New Roman"/>
          <w:sz w:val="24"/>
          <w:szCs w:val="24"/>
          <w:lang w:eastAsia="fr-FR"/>
        </w:rPr>
        <w:t>mployeurs</w:t>
      </w:r>
      <w:r w:rsidR="00100EA9" w:rsidRPr="0019463B">
        <w:rPr>
          <w:rFonts w:ascii="Times New Roman" w:eastAsia="Calibri" w:hAnsi="Times New Roman" w:cs="Times New Roman"/>
          <w:sz w:val="24"/>
          <w:szCs w:val="24"/>
          <w:lang w:eastAsia="fr-FR"/>
        </w:rPr>
        <w:t xml:space="preserve"> publics</w:t>
      </w:r>
      <w:r w:rsidRPr="0019463B">
        <w:rPr>
          <w:rFonts w:ascii="Times New Roman" w:eastAsia="Calibri" w:hAnsi="Times New Roman" w:cs="Times New Roman"/>
          <w:sz w:val="24"/>
          <w:szCs w:val="24"/>
          <w:lang w:eastAsia="fr-FR"/>
        </w:rPr>
        <w:t xml:space="preserve"> territoriaux</w:t>
      </w:r>
      <w:r w:rsidR="00100EA9" w:rsidRPr="0019463B">
        <w:rPr>
          <w:rFonts w:ascii="Times New Roman" w:eastAsia="Calibri" w:hAnsi="Times New Roman" w:cs="Times New Roman"/>
          <w:sz w:val="24"/>
          <w:szCs w:val="24"/>
          <w:lang w:eastAsia="fr-FR"/>
        </w:rPr>
        <w:t>,</w:t>
      </w:r>
      <w:r w:rsidRPr="0019463B">
        <w:rPr>
          <w:rFonts w:ascii="Times New Roman" w:eastAsia="Calibri" w:hAnsi="Times New Roman" w:cs="Times New Roman"/>
          <w:sz w:val="24"/>
          <w:szCs w:val="24"/>
          <w:lang w:eastAsia="fr-FR"/>
        </w:rPr>
        <w:t xml:space="preserve"> lors d’une réunion avec le ministre des Comptes Publics</w:t>
      </w:r>
      <w:r w:rsidR="00526A63" w:rsidRPr="0019463B">
        <w:rPr>
          <w:rFonts w:ascii="Times New Roman" w:eastAsia="Calibri" w:hAnsi="Times New Roman" w:cs="Times New Roman"/>
          <w:sz w:val="24"/>
          <w:szCs w:val="24"/>
          <w:lang w:eastAsia="fr-FR"/>
        </w:rPr>
        <w:t>, qui s’est tenu</w:t>
      </w:r>
      <w:r w:rsidR="00100EA9" w:rsidRPr="0019463B">
        <w:rPr>
          <w:rFonts w:ascii="Times New Roman" w:eastAsia="Calibri" w:hAnsi="Times New Roman" w:cs="Times New Roman"/>
          <w:sz w:val="24"/>
          <w:szCs w:val="24"/>
          <w:lang w:eastAsia="fr-FR"/>
        </w:rPr>
        <w:t>e</w:t>
      </w:r>
      <w:r w:rsidR="00526A63" w:rsidRPr="0019463B">
        <w:rPr>
          <w:rFonts w:ascii="Times New Roman" w:eastAsia="Calibri" w:hAnsi="Times New Roman" w:cs="Times New Roman"/>
          <w:sz w:val="24"/>
          <w:szCs w:val="24"/>
          <w:lang w:eastAsia="fr-FR"/>
        </w:rPr>
        <w:t xml:space="preserve"> le 13 février 2023</w:t>
      </w:r>
      <w:r w:rsidR="00100EA9" w:rsidRPr="0019463B">
        <w:rPr>
          <w:rFonts w:ascii="Times New Roman" w:eastAsia="Calibri" w:hAnsi="Times New Roman" w:cs="Times New Roman"/>
          <w:sz w:val="24"/>
          <w:szCs w:val="24"/>
          <w:lang w:eastAsia="fr-FR"/>
        </w:rPr>
        <w:t>,</w:t>
      </w:r>
      <w:r w:rsidRPr="0019463B">
        <w:rPr>
          <w:rFonts w:ascii="Times New Roman" w:eastAsia="Calibri" w:hAnsi="Times New Roman" w:cs="Times New Roman"/>
          <w:sz w:val="24"/>
          <w:szCs w:val="24"/>
          <w:lang w:eastAsia="fr-FR"/>
        </w:rPr>
        <w:t xml:space="preserve"> que la CNRACL – bien que déficitaire – continuerait </w:t>
      </w:r>
      <w:r w:rsidR="004B42AB">
        <w:rPr>
          <w:rFonts w:ascii="Times New Roman" w:eastAsia="Calibri" w:hAnsi="Times New Roman" w:cs="Times New Roman"/>
          <w:sz w:val="24"/>
          <w:szCs w:val="24"/>
          <w:lang w:eastAsia="fr-FR"/>
        </w:rPr>
        <w:t xml:space="preserve">à moyen terme </w:t>
      </w:r>
      <w:r w:rsidRPr="0019463B">
        <w:rPr>
          <w:rFonts w:ascii="Times New Roman" w:eastAsia="Calibri" w:hAnsi="Times New Roman" w:cs="Times New Roman"/>
          <w:sz w:val="24"/>
          <w:szCs w:val="24"/>
          <w:lang w:eastAsia="fr-FR"/>
        </w:rPr>
        <w:t xml:space="preserve">à être prélevée au titre de la compensation démographique </w:t>
      </w:r>
      <w:r w:rsidR="009546F7" w:rsidRPr="0019463B">
        <w:rPr>
          <w:rFonts w:ascii="Times New Roman" w:eastAsia="Calibri" w:hAnsi="Times New Roman" w:cs="Times New Roman"/>
          <w:sz w:val="24"/>
          <w:szCs w:val="24"/>
          <w:lang w:eastAsia="fr-FR"/>
        </w:rPr>
        <w:t>vers</w:t>
      </w:r>
      <w:r w:rsidRPr="0019463B">
        <w:rPr>
          <w:rFonts w:ascii="Times New Roman" w:eastAsia="Calibri" w:hAnsi="Times New Roman" w:cs="Times New Roman"/>
          <w:sz w:val="24"/>
          <w:szCs w:val="24"/>
          <w:lang w:eastAsia="fr-FR"/>
        </w:rPr>
        <w:t xml:space="preserve"> les </w:t>
      </w:r>
      <w:r w:rsidR="009546F7" w:rsidRPr="0019463B">
        <w:rPr>
          <w:rFonts w:ascii="Times New Roman" w:eastAsia="Calibri" w:hAnsi="Times New Roman" w:cs="Times New Roman"/>
          <w:sz w:val="24"/>
          <w:szCs w:val="24"/>
          <w:lang w:eastAsia="fr-FR"/>
        </w:rPr>
        <w:t>autres</w:t>
      </w:r>
      <w:r w:rsidRPr="0019463B">
        <w:rPr>
          <w:rFonts w:ascii="Times New Roman" w:eastAsia="Calibri" w:hAnsi="Times New Roman" w:cs="Times New Roman"/>
          <w:sz w:val="24"/>
          <w:szCs w:val="24"/>
          <w:lang w:eastAsia="fr-FR"/>
        </w:rPr>
        <w:t xml:space="preserve"> régimes.</w:t>
      </w:r>
    </w:p>
    <w:p w14:paraId="1DF6C17A" w14:textId="77777777" w:rsidR="00695DC1" w:rsidRPr="0019463B" w:rsidRDefault="00695DC1" w:rsidP="00695DC1">
      <w:pPr>
        <w:spacing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fr-FR"/>
        </w:rPr>
      </w:pPr>
    </w:p>
    <w:p w14:paraId="7E94416C" w14:textId="26BC04C2" w:rsidR="00695DC1" w:rsidRPr="0019463B" w:rsidRDefault="004B42AB" w:rsidP="00695DC1">
      <w:pPr>
        <w:spacing w:line="276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eastAsia="fr-FR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fr-FR"/>
        </w:rPr>
        <w:t>Dans ces conditions</w:t>
      </w:r>
      <w:r w:rsidR="00695DC1" w:rsidRPr="0019463B">
        <w:rPr>
          <w:rFonts w:ascii="Times New Roman" w:eastAsia="Calibri" w:hAnsi="Times New Roman" w:cs="Times New Roman"/>
          <w:bCs/>
          <w:sz w:val="24"/>
          <w:szCs w:val="24"/>
          <w:lang w:eastAsia="fr-FR"/>
        </w:rPr>
        <w:t xml:space="preserve">, la hausse de cotisation d’un point des employeurs affiliés à la CNRACL ne participera pas à l’équilibre </w:t>
      </w:r>
      <w:r w:rsidR="009546F7" w:rsidRPr="0019463B">
        <w:rPr>
          <w:rFonts w:ascii="Times New Roman" w:eastAsia="Calibri" w:hAnsi="Times New Roman" w:cs="Times New Roman"/>
          <w:bCs/>
          <w:sz w:val="24"/>
          <w:szCs w:val="24"/>
          <w:lang w:eastAsia="fr-FR"/>
        </w:rPr>
        <w:t>intrinsèque</w:t>
      </w:r>
      <w:r w:rsidR="00695DC1" w:rsidRPr="0019463B">
        <w:rPr>
          <w:rFonts w:ascii="Times New Roman" w:eastAsia="Calibri" w:hAnsi="Times New Roman" w:cs="Times New Roman"/>
          <w:bCs/>
          <w:sz w:val="24"/>
          <w:szCs w:val="24"/>
          <w:lang w:eastAsia="fr-FR"/>
        </w:rPr>
        <w:t xml:space="preserve"> du régime, mais </w:t>
      </w:r>
      <w:r w:rsidR="009546F7" w:rsidRPr="0019463B">
        <w:rPr>
          <w:rFonts w:ascii="Times New Roman" w:eastAsia="Calibri" w:hAnsi="Times New Roman" w:cs="Times New Roman"/>
          <w:bCs/>
          <w:sz w:val="24"/>
          <w:szCs w:val="24"/>
          <w:lang w:eastAsia="fr-FR"/>
        </w:rPr>
        <w:t xml:space="preserve">au maintien de la compensation démographique vers les autres régimes et, </w:t>
      </w:r>
      <w:r w:rsidR="00695DC1" w:rsidRPr="0019463B">
        <w:rPr>
          <w:rFonts w:ascii="Times New Roman" w:eastAsia="Calibri" w:hAnsi="Times New Roman" w:cs="Times New Roman"/>
          <w:bCs/>
          <w:sz w:val="24"/>
          <w:szCs w:val="24"/>
          <w:lang w:eastAsia="fr-FR"/>
        </w:rPr>
        <w:t>de</w:t>
      </w:r>
      <w:r w:rsidR="009546F7" w:rsidRPr="0019463B">
        <w:rPr>
          <w:rFonts w:ascii="Times New Roman" w:eastAsia="Calibri" w:hAnsi="Times New Roman" w:cs="Times New Roman"/>
          <w:bCs/>
          <w:sz w:val="24"/>
          <w:szCs w:val="24"/>
          <w:lang w:eastAsia="fr-FR"/>
        </w:rPr>
        <w:t xml:space="preserve"> ce</w:t>
      </w:r>
      <w:r w:rsidR="00695DC1" w:rsidRPr="0019463B">
        <w:rPr>
          <w:rFonts w:ascii="Times New Roman" w:eastAsia="Calibri" w:hAnsi="Times New Roman" w:cs="Times New Roman"/>
          <w:bCs/>
          <w:sz w:val="24"/>
          <w:szCs w:val="24"/>
          <w:lang w:eastAsia="fr-FR"/>
        </w:rPr>
        <w:t xml:space="preserve"> fait</w:t>
      </w:r>
      <w:r w:rsidR="0019463B">
        <w:rPr>
          <w:rFonts w:ascii="Times New Roman" w:eastAsia="Calibri" w:hAnsi="Times New Roman" w:cs="Times New Roman"/>
          <w:bCs/>
          <w:sz w:val="24"/>
          <w:szCs w:val="24"/>
          <w:lang w:eastAsia="fr-FR"/>
        </w:rPr>
        <w:t>,</w:t>
      </w:r>
      <w:r w:rsidR="00695DC1" w:rsidRPr="0019463B">
        <w:rPr>
          <w:rFonts w:ascii="Times New Roman" w:eastAsia="Calibri" w:hAnsi="Times New Roman" w:cs="Times New Roman"/>
          <w:bCs/>
          <w:sz w:val="24"/>
          <w:szCs w:val="24"/>
          <w:lang w:eastAsia="fr-FR"/>
        </w:rPr>
        <w:t xml:space="preserve"> à </w:t>
      </w:r>
      <w:r w:rsidR="009546F7" w:rsidRPr="0019463B">
        <w:rPr>
          <w:rFonts w:ascii="Times New Roman" w:eastAsia="Calibri" w:hAnsi="Times New Roman" w:cs="Times New Roman"/>
          <w:bCs/>
          <w:sz w:val="24"/>
          <w:szCs w:val="24"/>
          <w:lang w:eastAsia="fr-FR"/>
        </w:rPr>
        <w:t>leur</w:t>
      </w:r>
      <w:r w:rsidR="00695DC1" w:rsidRPr="0019463B">
        <w:rPr>
          <w:rFonts w:ascii="Times New Roman" w:eastAsia="Calibri" w:hAnsi="Times New Roman" w:cs="Times New Roman"/>
          <w:bCs/>
          <w:sz w:val="24"/>
          <w:szCs w:val="24"/>
          <w:lang w:eastAsia="fr-FR"/>
        </w:rPr>
        <w:t xml:space="preserve"> financement indire</w:t>
      </w:r>
      <w:r w:rsidR="009546F7" w:rsidRPr="0019463B">
        <w:rPr>
          <w:rFonts w:ascii="Times New Roman" w:eastAsia="Calibri" w:hAnsi="Times New Roman" w:cs="Times New Roman"/>
          <w:bCs/>
          <w:sz w:val="24"/>
          <w:szCs w:val="24"/>
          <w:lang w:eastAsia="fr-FR"/>
        </w:rPr>
        <w:t>ct.</w:t>
      </w:r>
    </w:p>
    <w:p w14:paraId="189ED44F" w14:textId="77777777" w:rsidR="00695DC1" w:rsidRPr="00BE3743" w:rsidRDefault="00695DC1" w:rsidP="00695DC1">
      <w:pPr>
        <w:spacing w:line="276" w:lineRule="auto"/>
        <w:jc w:val="both"/>
        <w:rPr>
          <w:rFonts w:ascii="Times New Roman" w:eastAsia="Calibri" w:hAnsi="Times New Roman" w:cs="Times New Roman"/>
          <w:color w:val="FF0000"/>
          <w:sz w:val="24"/>
          <w:szCs w:val="24"/>
          <w:lang w:eastAsia="fr-FR"/>
        </w:rPr>
      </w:pPr>
      <w:r w:rsidRPr="00BE3743">
        <w:rPr>
          <w:rFonts w:ascii="Times New Roman" w:eastAsia="Calibri" w:hAnsi="Times New Roman" w:cs="Times New Roman"/>
          <w:color w:val="FF0000"/>
          <w:sz w:val="24"/>
          <w:szCs w:val="24"/>
          <w:lang w:eastAsia="fr-FR"/>
        </w:rPr>
        <w:t xml:space="preserve"> </w:t>
      </w:r>
    </w:p>
    <w:p w14:paraId="204388C8" w14:textId="77777777" w:rsidR="00695DC1" w:rsidRDefault="00695DC1" w:rsidP="00695DC1">
      <w:pPr>
        <w:spacing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fr-FR"/>
        </w:rPr>
      </w:pPr>
      <w:r w:rsidRPr="006857E0">
        <w:rPr>
          <w:rFonts w:ascii="Times New Roman" w:eastAsia="Calibri" w:hAnsi="Times New Roman" w:cs="Times New Roman"/>
          <w:sz w:val="24"/>
          <w:szCs w:val="24"/>
          <w:lang w:eastAsia="fr-FR"/>
        </w:rPr>
        <w:t xml:space="preserve">Il convient donc de revenir sur cette hausse de cotisation ; le préalable à toute variation du taux de cotisation devant être une remise à plat du système de retraites des </w:t>
      </w:r>
      <w:r>
        <w:rPr>
          <w:rFonts w:ascii="Times New Roman" w:eastAsia="Calibri" w:hAnsi="Times New Roman" w:cs="Times New Roman"/>
          <w:sz w:val="24"/>
          <w:szCs w:val="24"/>
          <w:lang w:eastAsia="fr-FR"/>
        </w:rPr>
        <w:t>agents</w:t>
      </w:r>
      <w:r w:rsidRPr="006857E0">
        <w:rPr>
          <w:rFonts w:ascii="Times New Roman" w:eastAsia="Calibri" w:hAnsi="Times New Roman" w:cs="Times New Roman"/>
          <w:sz w:val="24"/>
          <w:szCs w:val="24"/>
          <w:lang w:eastAsia="fr-FR"/>
        </w:rPr>
        <w:t xml:space="preserve"> territoriaux compte-tenu notamment de la part croissante d’emplois contractuels dans les collectivités. </w:t>
      </w:r>
    </w:p>
    <w:p w14:paraId="59E32F54" w14:textId="77777777" w:rsidR="00695DC1" w:rsidRDefault="00695DC1" w:rsidP="00695DC1">
      <w:pPr>
        <w:spacing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fr-FR"/>
        </w:rPr>
      </w:pPr>
    </w:p>
    <w:p w14:paraId="7B9B9F13" w14:textId="77777777" w:rsidR="00695DC1" w:rsidRPr="006857E0" w:rsidRDefault="00695DC1" w:rsidP="00695DC1">
      <w:pPr>
        <w:spacing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fr-FR"/>
        </w:rPr>
      </w:pPr>
      <w:r w:rsidRPr="006857E0">
        <w:rPr>
          <w:rFonts w:ascii="Times New Roman" w:eastAsia="Calibri" w:hAnsi="Times New Roman" w:cs="Times New Roman"/>
          <w:sz w:val="24"/>
          <w:szCs w:val="24"/>
          <w:lang w:eastAsia="fr-FR"/>
        </w:rPr>
        <w:t>Ainsi, la nécessité de ce préalable est renfor</w:t>
      </w:r>
      <w:r>
        <w:rPr>
          <w:rFonts w:ascii="Times New Roman" w:eastAsia="Calibri" w:hAnsi="Times New Roman" w:cs="Times New Roman"/>
          <w:sz w:val="24"/>
          <w:szCs w:val="24"/>
          <w:lang w:eastAsia="fr-FR"/>
        </w:rPr>
        <w:t xml:space="preserve">cée </w:t>
      </w:r>
      <w:r w:rsidRPr="006857E0">
        <w:rPr>
          <w:rFonts w:ascii="Times New Roman" w:eastAsia="Calibri" w:hAnsi="Times New Roman" w:cs="Times New Roman"/>
          <w:sz w:val="24"/>
          <w:szCs w:val="24"/>
          <w:lang w:eastAsia="fr-FR"/>
        </w:rPr>
        <w:t xml:space="preserve">par l’intérêt d’examiner la récente proposition de la CNRACL en faveur d’un élargissement de l’assiette des agents obligatoirement affiliés à cette Caisse, ou encore, par celui de questionner le seuil d’affiliation à la CNRACL des fonctionnaires territoriaux nommés dans un emploi permanent à temps non complet, fixé par décret. </w:t>
      </w:r>
      <w:r>
        <w:rPr>
          <w:rFonts w:ascii="Times New Roman" w:eastAsia="Calibri" w:hAnsi="Times New Roman" w:cs="Times New Roman"/>
          <w:sz w:val="24"/>
          <w:szCs w:val="24"/>
          <w:lang w:eastAsia="fr-FR"/>
        </w:rPr>
        <w:t>Par ailleurs, toute mesure concernant le niveau de cotisations devrait être conjuguée avec l’appréciation des impacts du chantier relatif aux carrières et rémunérations, dont l’ouverture prochaine a été annoncée par le Gouvernement.</w:t>
      </w:r>
    </w:p>
    <w:p w14:paraId="1C329BE2" w14:textId="77777777" w:rsidR="00695DC1" w:rsidRPr="006857E0" w:rsidRDefault="00695DC1" w:rsidP="00695DC1">
      <w:pPr>
        <w:spacing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fr-FR"/>
        </w:rPr>
      </w:pPr>
    </w:p>
    <w:p w14:paraId="077217A3" w14:textId="77777777" w:rsidR="00695DC1" w:rsidRDefault="00695DC1" w:rsidP="00695DC1">
      <w:pPr>
        <w:pStyle w:val="NormalWeb"/>
        <w:spacing w:before="0" w:beforeAutospacing="0" w:after="0" w:afterAutospacing="0" w:line="276" w:lineRule="auto"/>
        <w:jc w:val="both"/>
        <w:rPr>
          <w:bdr w:val="none" w:sz="0" w:space="0" w:color="auto" w:frame="1"/>
          <w:shd w:val="clear" w:color="auto" w:fill="FFFFFF"/>
        </w:rPr>
      </w:pPr>
      <w:r w:rsidRPr="00AB3534">
        <w:rPr>
          <w:bdr w:val="none" w:sz="0" w:space="0" w:color="auto" w:frame="1"/>
          <w:shd w:val="clear" w:color="auto" w:fill="FFFFFF"/>
        </w:rPr>
        <w:t>Cet amendement est proposé par la Coordination des employeurs publics territoriaux, instance informelle regroupant l’ensemble des associations nationales d’élus locaux.</w:t>
      </w:r>
    </w:p>
    <w:p w14:paraId="6159AF1B" w14:textId="012CB96F" w:rsidR="00201492" w:rsidRPr="006857E0" w:rsidRDefault="00201492" w:rsidP="007E0A82">
      <w:pPr>
        <w:pStyle w:val="NormalWeb"/>
        <w:tabs>
          <w:tab w:val="left" w:pos="1310"/>
        </w:tabs>
        <w:spacing w:before="0" w:beforeAutospacing="0" w:after="0" w:afterAutospacing="0"/>
        <w:jc w:val="both"/>
      </w:pPr>
    </w:p>
    <w:p w14:paraId="549EB4B9" w14:textId="77777777" w:rsidR="00BB0D03" w:rsidRPr="006857E0" w:rsidRDefault="00BB0D03" w:rsidP="006857E0">
      <w:pPr>
        <w:pStyle w:val="NormalWeb"/>
        <w:spacing w:line="276" w:lineRule="auto"/>
        <w:jc w:val="both"/>
      </w:pPr>
    </w:p>
    <w:p w14:paraId="43A44D95" w14:textId="07B78370" w:rsidR="0044242A" w:rsidRPr="006857E0" w:rsidRDefault="0044242A" w:rsidP="006857E0">
      <w:pPr>
        <w:pStyle w:val="NormalWeb"/>
        <w:spacing w:line="276" w:lineRule="auto"/>
        <w:jc w:val="both"/>
      </w:pPr>
    </w:p>
    <w:sectPr w:rsidR="0044242A" w:rsidRPr="006857E0">
      <w:headerReference w:type="even" r:id="rId7"/>
      <w:headerReference w:type="firs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C38FD0" w14:textId="77777777" w:rsidR="00F843AF" w:rsidRDefault="00F843AF" w:rsidP="008E54B6">
      <w:r>
        <w:separator/>
      </w:r>
    </w:p>
  </w:endnote>
  <w:endnote w:type="continuationSeparator" w:id="0">
    <w:p w14:paraId="4DB187B4" w14:textId="77777777" w:rsidR="00F843AF" w:rsidRDefault="00F843AF" w:rsidP="008E54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Futura-Book">
    <w:altName w:val="Century Gothic"/>
    <w:panose1 w:val="00000000000000000000"/>
    <w:charset w:val="00"/>
    <w:family w:val="roman"/>
    <w:notTrueType/>
    <w:pitch w:val="default"/>
  </w:font>
  <w:font w:name="Futura-Heavy">
    <w:altName w:val="Century Gothic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rbane 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611AF7" w14:textId="77777777" w:rsidR="00F843AF" w:rsidRDefault="00F843AF" w:rsidP="008E54B6">
      <w:r>
        <w:separator/>
      </w:r>
    </w:p>
  </w:footnote>
  <w:footnote w:type="continuationSeparator" w:id="0">
    <w:p w14:paraId="4F62D8D6" w14:textId="77777777" w:rsidR="00F843AF" w:rsidRDefault="00F843AF" w:rsidP="008E54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4FEF41" w14:textId="0448E405" w:rsidR="007E0A82" w:rsidRDefault="00E91EA1">
    <w:pPr>
      <w:pStyle w:val="En-tte"/>
    </w:pPr>
    <w:r>
      <w:rPr>
        <w:noProof/>
      </w:rPr>
      <w:pict w14:anchorId="4920A43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26" type="#_x0000_t136" style="position:absolute;margin-left:0;margin-top:0;width:426.35pt;height:213.1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PROJE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01B000" w14:textId="495A03CB" w:rsidR="007E0A82" w:rsidRDefault="00E91EA1">
    <w:pPr>
      <w:pStyle w:val="En-tte"/>
    </w:pPr>
    <w:r>
      <w:rPr>
        <w:noProof/>
      </w:rPr>
      <w:pict w14:anchorId="54CFF79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" o:spid="_x0000_s1025" type="#_x0000_t136" style="position:absolute;margin-left:0;margin-top:0;width:426.35pt;height:213.1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PROJE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93AFC"/>
    <w:multiLevelType w:val="hybridMultilevel"/>
    <w:tmpl w:val="3D94BB0E"/>
    <w:lvl w:ilvl="0" w:tplc="D97AB892">
      <w:start w:val="6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98C898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2E8D1E7A"/>
    <w:multiLevelType w:val="hybridMultilevel"/>
    <w:tmpl w:val="29F024D2"/>
    <w:lvl w:ilvl="0" w:tplc="5980F5E0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747BA8"/>
    <w:multiLevelType w:val="multilevel"/>
    <w:tmpl w:val="75C0C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89945626">
    <w:abstractNumId w:val="2"/>
  </w:num>
  <w:num w:numId="2" w16cid:durableId="470489055">
    <w:abstractNumId w:val="1"/>
  </w:num>
  <w:num w:numId="3" w16cid:durableId="924919603">
    <w:abstractNumId w:val="0"/>
  </w:num>
  <w:num w:numId="4" w16cid:durableId="112095680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733"/>
    <w:rsid w:val="00052DBE"/>
    <w:rsid w:val="00061BED"/>
    <w:rsid w:val="000A29FB"/>
    <w:rsid w:val="000B73BA"/>
    <w:rsid w:val="000C0556"/>
    <w:rsid w:val="00100EA9"/>
    <w:rsid w:val="00155C7A"/>
    <w:rsid w:val="001658AE"/>
    <w:rsid w:val="00177A4B"/>
    <w:rsid w:val="00181211"/>
    <w:rsid w:val="001858CC"/>
    <w:rsid w:val="00193A71"/>
    <w:rsid w:val="00194365"/>
    <w:rsid w:val="0019463B"/>
    <w:rsid w:val="00194D70"/>
    <w:rsid w:val="00196C18"/>
    <w:rsid w:val="001B47AC"/>
    <w:rsid w:val="001C44EC"/>
    <w:rsid w:val="001E6B2E"/>
    <w:rsid w:val="001F1FFE"/>
    <w:rsid w:val="001F4079"/>
    <w:rsid w:val="00201492"/>
    <w:rsid w:val="00207F83"/>
    <w:rsid w:val="00230C0A"/>
    <w:rsid w:val="00233190"/>
    <w:rsid w:val="002379C7"/>
    <w:rsid w:val="00296423"/>
    <w:rsid w:val="002C2D1E"/>
    <w:rsid w:val="002C36A8"/>
    <w:rsid w:val="002D2889"/>
    <w:rsid w:val="002E752D"/>
    <w:rsid w:val="002F1196"/>
    <w:rsid w:val="002F4B43"/>
    <w:rsid w:val="00371B5D"/>
    <w:rsid w:val="00372184"/>
    <w:rsid w:val="003A2EED"/>
    <w:rsid w:val="003A630A"/>
    <w:rsid w:val="003B303D"/>
    <w:rsid w:val="003D58E3"/>
    <w:rsid w:val="004204EB"/>
    <w:rsid w:val="004240B3"/>
    <w:rsid w:val="0043625B"/>
    <w:rsid w:val="0044242A"/>
    <w:rsid w:val="004426D7"/>
    <w:rsid w:val="00473CF9"/>
    <w:rsid w:val="004812C3"/>
    <w:rsid w:val="00485C2A"/>
    <w:rsid w:val="00490EA7"/>
    <w:rsid w:val="0049307B"/>
    <w:rsid w:val="004A241C"/>
    <w:rsid w:val="004A338A"/>
    <w:rsid w:val="004B35A0"/>
    <w:rsid w:val="004B42AB"/>
    <w:rsid w:val="004B6AC0"/>
    <w:rsid w:val="004E2D92"/>
    <w:rsid w:val="004F1C44"/>
    <w:rsid w:val="00514DAD"/>
    <w:rsid w:val="00523FD8"/>
    <w:rsid w:val="00526A63"/>
    <w:rsid w:val="005530C5"/>
    <w:rsid w:val="00556852"/>
    <w:rsid w:val="005A1060"/>
    <w:rsid w:val="005A5321"/>
    <w:rsid w:val="005B1627"/>
    <w:rsid w:val="005B4474"/>
    <w:rsid w:val="005C5315"/>
    <w:rsid w:val="005D649E"/>
    <w:rsid w:val="005F43F6"/>
    <w:rsid w:val="00621B49"/>
    <w:rsid w:val="006247A2"/>
    <w:rsid w:val="006351D6"/>
    <w:rsid w:val="00656281"/>
    <w:rsid w:val="00662D75"/>
    <w:rsid w:val="006823B4"/>
    <w:rsid w:val="0068260D"/>
    <w:rsid w:val="0068326E"/>
    <w:rsid w:val="006857E0"/>
    <w:rsid w:val="00695DC1"/>
    <w:rsid w:val="006A5080"/>
    <w:rsid w:val="006B4F1C"/>
    <w:rsid w:val="006D53A0"/>
    <w:rsid w:val="006D77F6"/>
    <w:rsid w:val="006E2B72"/>
    <w:rsid w:val="006F5C62"/>
    <w:rsid w:val="00731855"/>
    <w:rsid w:val="007416D9"/>
    <w:rsid w:val="007478FA"/>
    <w:rsid w:val="00755D13"/>
    <w:rsid w:val="00761082"/>
    <w:rsid w:val="007655ED"/>
    <w:rsid w:val="007A24CF"/>
    <w:rsid w:val="007A395E"/>
    <w:rsid w:val="007B5FA2"/>
    <w:rsid w:val="007B7706"/>
    <w:rsid w:val="007C75B6"/>
    <w:rsid w:val="007D6DE4"/>
    <w:rsid w:val="007E0A82"/>
    <w:rsid w:val="007F31CC"/>
    <w:rsid w:val="007F67A3"/>
    <w:rsid w:val="008138C5"/>
    <w:rsid w:val="00822506"/>
    <w:rsid w:val="0082286B"/>
    <w:rsid w:val="00851421"/>
    <w:rsid w:val="00852F11"/>
    <w:rsid w:val="00887F10"/>
    <w:rsid w:val="008A6BED"/>
    <w:rsid w:val="008E0DDC"/>
    <w:rsid w:val="008E54B6"/>
    <w:rsid w:val="008F0D42"/>
    <w:rsid w:val="00903D3E"/>
    <w:rsid w:val="009105C3"/>
    <w:rsid w:val="00917750"/>
    <w:rsid w:val="00921F16"/>
    <w:rsid w:val="00924D77"/>
    <w:rsid w:val="009255AD"/>
    <w:rsid w:val="009546F7"/>
    <w:rsid w:val="0096606F"/>
    <w:rsid w:val="00966733"/>
    <w:rsid w:val="00976A23"/>
    <w:rsid w:val="00991456"/>
    <w:rsid w:val="009C27C1"/>
    <w:rsid w:val="00A0434A"/>
    <w:rsid w:val="00A43B12"/>
    <w:rsid w:val="00A45F7A"/>
    <w:rsid w:val="00A60A2C"/>
    <w:rsid w:val="00A936D0"/>
    <w:rsid w:val="00AC6034"/>
    <w:rsid w:val="00AE19A2"/>
    <w:rsid w:val="00AF0B46"/>
    <w:rsid w:val="00B04DCB"/>
    <w:rsid w:val="00B06986"/>
    <w:rsid w:val="00B3548B"/>
    <w:rsid w:val="00B4053B"/>
    <w:rsid w:val="00B446C2"/>
    <w:rsid w:val="00B60E95"/>
    <w:rsid w:val="00B63B84"/>
    <w:rsid w:val="00B66952"/>
    <w:rsid w:val="00B8525B"/>
    <w:rsid w:val="00B85537"/>
    <w:rsid w:val="00BB0AF0"/>
    <w:rsid w:val="00BB0D03"/>
    <w:rsid w:val="00BD22D1"/>
    <w:rsid w:val="00BD550F"/>
    <w:rsid w:val="00BD5C30"/>
    <w:rsid w:val="00BF0432"/>
    <w:rsid w:val="00BF54BE"/>
    <w:rsid w:val="00C00F2D"/>
    <w:rsid w:val="00C151DC"/>
    <w:rsid w:val="00C33257"/>
    <w:rsid w:val="00C44A58"/>
    <w:rsid w:val="00C44C74"/>
    <w:rsid w:val="00C65766"/>
    <w:rsid w:val="00C854CE"/>
    <w:rsid w:val="00C92659"/>
    <w:rsid w:val="00CF6494"/>
    <w:rsid w:val="00CF6573"/>
    <w:rsid w:val="00D03B9A"/>
    <w:rsid w:val="00D16BF4"/>
    <w:rsid w:val="00D356AC"/>
    <w:rsid w:val="00D37F60"/>
    <w:rsid w:val="00D5660E"/>
    <w:rsid w:val="00D65A50"/>
    <w:rsid w:val="00D92B81"/>
    <w:rsid w:val="00D937B4"/>
    <w:rsid w:val="00D974BF"/>
    <w:rsid w:val="00DD540D"/>
    <w:rsid w:val="00DF3F21"/>
    <w:rsid w:val="00DF684C"/>
    <w:rsid w:val="00E4489B"/>
    <w:rsid w:val="00E47F91"/>
    <w:rsid w:val="00E52FBF"/>
    <w:rsid w:val="00E53DA0"/>
    <w:rsid w:val="00E57BCC"/>
    <w:rsid w:val="00E662E4"/>
    <w:rsid w:val="00E8348E"/>
    <w:rsid w:val="00E91EA1"/>
    <w:rsid w:val="00E95B5A"/>
    <w:rsid w:val="00EB7AE5"/>
    <w:rsid w:val="00EC0AB5"/>
    <w:rsid w:val="00EE055B"/>
    <w:rsid w:val="00EE3C48"/>
    <w:rsid w:val="00F04F20"/>
    <w:rsid w:val="00F51071"/>
    <w:rsid w:val="00F64124"/>
    <w:rsid w:val="00F7226C"/>
    <w:rsid w:val="00F75A46"/>
    <w:rsid w:val="00F843AF"/>
    <w:rsid w:val="00FA26CC"/>
    <w:rsid w:val="00FB1656"/>
    <w:rsid w:val="00FB7E4A"/>
    <w:rsid w:val="00FC6D2A"/>
    <w:rsid w:val="00FE6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0D801C"/>
  <w15:chartTrackingRefBased/>
  <w15:docId w15:val="{20045634-6D38-49B0-A8D5-FABAE3CDC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6733"/>
    <w:pPr>
      <w:spacing w:after="0" w:line="240" w:lineRule="auto"/>
    </w:pPr>
    <w:rPr>
      <w:rFonts w:ascii="Calibri" w:hAnsi="Calibri" w:cs="Calibri"/>
    </w:rPr>
  </w:style>
  <w:style w:type="paragraph" w:styleId="Titre1">
    <w:name w:val="heading 1"/>
    <w:basedOn w:val="Normal"/>
    <w:link w:val="Titre1Car"/>
    <w:uiPriority w:val="9"/>
    <w:qFormat/>
    <w:rsid w:val="000B73BA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0149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4F1C44"/>
    <w:pPr>
      <w:ind w:left="720"/>
      <w:contextualSpacing/>
    </w:pPr>
  </w:style>
  <w:style w:type="character" w:customStyle="1" w:styleId="fontstyle01">
    <w:name w:val="fontstyle01"/>
    <w:basedOn w:val="Policepardfaut"/>
    <w:rsid w:val="007A24CF"/>
    <w:rPr>
      <w:rFonts w:ascii="Futura-Book" w:hAnsi="Futura-Book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Policepardfaut"/>
    <w:rsid w:val="00B8525B"/>
    <w:rPr>
      <w:rFonts w:ascii="Futura-Heavy" w:hAnsi="Futura-Heavy" w:hint="default"/>
      <w:b w:val="0"/>
      <w:bCs w:val="0"/>
      <w:i w:val="0"/>
      <w:iCs w:val="0"/>
      <w:color w:val="000000"/>
      <w:sz w:val="22"/>
      <w:szCs w:val="22"/>
    </w:rPr>
  </w:style>
  <w:style w:type="paragraph" w:styleId="NormalWeb">
    <w:name w:val="Normal (Web)"/>
    <w:basedOn w:val="Normal"/>
    <w:uiPriority w:val="99"/>
    <w:unhideWhenUsed/>
    <w:rsid w:val="00A936D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Default">
    <w:name w:val="Default"/>
    <w:rsid w:val="00C00F2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Rvision">
    <w:name w:val="Revision"/>
    <w:hidden/>
    <w:uiPriority w:val="99"/>
    <w:semiHidden/>
    <w:rsid w:val="00FB1656"/>
    <w:pPr>
      <w:spacing w:after="0" w:line="240" w:lineRule="auto"/>
    </w:pPr>
    <w:rPr>
      <w:rFonts w:ascii="Calibri" w:hAnsi="Calibri" w:cs="Calibri"/>
    </w:rPr>
  </w:style>
  <w:style w:type="paragraph" w:customStyle="1" w:styleId="assnatfpfprojetloiartexte">
    <w:name w:val="assnatfpfprojetloiartexte"/>
    <w:basedOn w:val="Normal"/>
    <w:rsid w:val="00F75A4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assnatemphasis">
    <w:name w:val="assnatemphasis"/>
    <w:basedOn w:val="Policepardfaut"/>
    <w:rsid w:val="00F75A46"/>
  </w:style>
  <w:style w:type="character" w:customStyle="1" w:styleId="A7">
    <w:name w:val="A7"/>
    <w:uiPriority w:val="99"/>
    <w:rsid w:val="000B73BA"/>
    <w:rPr>
      <w:rFonts w:cs="Urbane Light"/>
      <w:b/>
      <w:bCs/>
      <w:color w:val="000000"/>
      <w:sz w:val="22"/>
      <w:szCs w:val="22"/>
    </w:rPr>
  </w:style>
  <w:style w:type="character" w:customStyle="1" w:styleId="A8">
    <w:name w:val="A8"/>
    <w:uiPriority w:val="99"/>
    <w:rsid w:val="000B73BA"/>
    <w:rPr>
      <w:rFonts w:cs="Urbane Light"/>
      <w:color w:val="000000"/>
      <w:sz w:val="12"/>
      <w:szCs w:val="12"/>
    </w:rPr>
  </w:style>
  <w:style w:type="character" w:customStyle="1" w:styleId="Titre1Car">
    <w:name w:val="Titre 1 Car"/>
    <w:basedOn w:val="Policepardfaut"/>
    <w:link w:val="Titre1"/>
    <w:uiPriority w:val="9"/>
    <w:rsid w:val="000B73BA"/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character" w:customStyle="1" w:styleId="A10">
    <w:name w:val="A10"/>
    <w:uiPriority w:val="99"/>
    <w:rsid w:val="00D37F60"/>
    <w:rPr>
      <w:rFonts w:cs="Urbane Light"/>
      <w:color w:val="000000"/>
      <w:sz w:val="26"/>
      <w:szCs w:val="26"/>
    </w:rPr>
  </w:style>
  <w:style w:type="character" w:styleId="Marquedecommentaire">
    <w:name w:val="annotation reference"/>
    <w:basedOn w:val="Policepardfaut"/>
    <w:uiPriority w:val="99"/>
    <w:semiHidden/>
    <w:unhideWhenUsed/>
    <w:rsid w:val="00E57BCC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E57BCC"/>
    <w:pPr>
      <w:spacing w:after="160"/>
    </w:pPr>
    <w:rPr>
      <w:rFonts w:asciiTheme="minorHAnsi" w:hAnsiTheme="minorHAnsi" w:cstheme="minorBidi"/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E57BCC"/>
    <w:rPr>
      <w:sz w:val="20"/>
      <w:szCs w:val="20"/>
    </w:rPr>
  </w:style>
  <w:style w:type="character" w:styleId="Lienhypertexte">
    <w:name w:val="Hyperlink"/>
    <w:basedOn w:val="Policepardfaut"/>
    <w:uiPriority w:val="99"/>
    <w:unhideWhenUsed/>
    <w:rsid w:val="00E57BCC"/>
    <w:rPr>
      <w:color w:val="0563C1" w:themeColor="hyperlink"/>
      <w:u w:val="single"/>
    </w:rPr>
  </w:style>
  <w:style w:type="paragraph" w:customStyle="1" w:styleId="Pa7">
    <w:name w:val="Pa7"/>
    <w:basedOn w:val="Default"/>
    <w:next w:val="Default"/>
    <w:uiPriority w:val="99"/>
    <w:rsid w:val="00B04DCB"/>
    <w:pPr>
      <w:spacing w:line="241" w:lineRule="atLeast"/>
    </w:pPr>
    <w:rPr>
      <w:rFonts w:ascii="Urbane Light" w:hAnsi="Urbane Light" w:cstheme="minorBidi"/>
      <w:color w:val="auto"/>
    </w:rPr>
  </w:style>
  <w:style w:type="paragraph" w:customStyle="1" w:styleId="xmsonormal">
    <w:name w:val="x_msonormal"/>
    <w:basedOn w:val="Normal"/>
    <w:rsid w:val="003D58E3"/>
    <w:pPr>
      <w:spacing w:before="100" w:beforeAutospacing="1" w:after="100" w:afterAutospacing="1"/>
    </w:pPr>
    <w:rPr>
      <w:lang w:eastAsia="fr-FR"/>
    </w:rPr>
  </w:style>
  <w:style w:type="table" w:styleId="Grilledutableau">
    <w:name w:val="Table Grid"/>
    <w:basedOn w:val="TableauNormal"/>
    <w:uiPriority w:val="39"/>
    <w:rsid w:val="00B669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8E54B6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8E54B6"/>
    <w:rPr>
      <w:rFonts w:ascii="Calibri" w:hAnsi="Calibri" w:cs="Calibri"/>
    </w:rPr>
  </w:style>
  <w:style w:type="paragraph" w:styleId="Pieddepage">
    <w:name w:val="footer"/>
    <w:basedOn w:val="Normal"/>
    <w:link w:val="PieddepageCar"/>
    <w:uiPriority w:val="99"/>
    <w:unhideWhenUsed/>
    <w:rsid w:val="008E54B6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E54B6"/>
    <w:rPr>
      <w:rFonts w:ascii="Calibri" w:hAnsi="Calibri" w:cs="Calibri"/>
    </w:rPr>
  </w:style>
  <w:style w:type="character" w:customStyle="1" w:styleId="Titre2Car">
    <w:name w:val="Titre 2 Car"/>
    <w:basedOn w:val="Policepardfaut"/>
    <w:link w:val="Titre2"/>
    <w:uiPriority w:val="9"/>
    <w:semiHidden/>
    <w:rsid w:val="0020149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31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8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5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2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0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7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63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7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04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8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6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3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0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2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49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58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618</Words>
  <Characters>3402</Characters>
  <Application>Microsoft Office Word</Application>
  <DocSecurity>0</DocSecurity>
  <Lines>28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Carine RIOU</dc:creator>
  <cp:keywords/>
  <dc:description/>
  <cp:lastModifiedBy>Bastien TALOC</cp:lastModifiedBy>
  <cp:revision>12</cp:revision>
  <dcterms:created xsi:type="dcterms:W3CDTF">2023-01-31T15:20:00Z</dcterms:created>
  <dcterms:modified xsi:type="dcterms:W3CDTF">2023-02-21T21:45:00Z</dcterms:modified>
</cp:coreProperties>
</file>