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31AEB" w14:textId="3EE97342" w:rsidR="005F43F6" w:rsidRPr="00D77F44" w:rsidRDefault="00D77F44" w:rsidP="005F43F6">
      <w:pPr>
        <w:widowControl w:val="0"/>
        <w:autoSpaceDE w:val="0"/>
        <w:autoSpaceDN w:val="0"/>
        <w:adjustRightInd w:val="0"/>
        <w:spacing w:line="276" w:lineRule="auto"/>
        <w:jc w:val="center"/>
        <w:rPr>
          <w:rFonts w:ascii="Times New Roman" w:hAnsi="Times New Roman" w:cs="Times New Roman"/>
          <w:color w:val="000000"/>
          <w:sz w:val="52"/>
          <w:szCs w:val="52"/>
        </w:rPr>
      </w:pPr>
      <w:r w:rsidRPr="00D77F44">
        <w:rPr>
          <w:rFonts w:ascii="Times New Roman" w:hAnsi="Times New Roman" w:cs="Times New Roman"/>
          <w:color w:val="000000"/>
          <w:sz w:val="52"/>
          <w:szCs w:val="52"/>
        </w:rPr>
        <w:t>S</w:t>
      </w:r>
      <w:r w:rsidR="005F43F6" w:rsidRPr="00D77F44">
        <w:rPr>
          <w:rFonts w:ascii="Times New Roman" w:hAnsi="Times New Roman" w:cs="Times New Roman"/>
          <w:color w:val="000000"/>
          <w:sz w:val="52"/>
          <w:szCs w:val="52"/>
        </w:rPr>
        <w:t>É</w:t>
      </w:r>
      <w:r w:rsidRPr="00D77F44">
        <w:rPr>
          <w:rFonts w:ascii="Times New Roman" w:hAnsi="Times New Roman" w:cs="Times New Roman"/>
          <w:color w:val="000000"/>
          <w:sz w:val="52"/>
          <w:szCs w:val="52"/>
        </w:rPr>
        <w:t>NAT</w:t>
      </w:r>
    </w:p>
    <w:p w14:paraId="7E2C8B13" w14:textId="77777777" w:rsidR="005F43F6" w:rsidRPr="007C75B6"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r w:rsidRPr="007C75B6">
        <w:rPr>
          <w:rFonts w:ascii="Times New Roman" w:hAnsi="Times New Roman" w:cs="Times New Roman"/>
          <w:sz w:val="24"/>
          <w:szCs w:val="24"/>
        </w:rPr>
        <w:t>______________________________________________________________</w:t>
      </w:r>
      <w:r w:rsidRPr="007C75B6">
        <w:rPr>
          <w:rFonts w:ascii="Times New Roman" w:hAnsi="Times New Roman" w:cs="Times New Roman"/>
          <w:color w:val="000000"/>
          <w:sz w:val="24"/>
          <w:szCs w:val="24"/>
        </w:rPr>
        <w:t>_____</w:t>
      </w:r>
    </w:p>
    <w:p w14:paraId="51C65C80" w14:textId="39671924" w:rsidR="00A60A2C" w:rsidRPr="00155C7A" w:rsidRDefault="00A60A2C" w:rsidP="005F43F6">
      <w:pPr>
        <w:pStyle w:val="NormalWeb"/>
        <w:jc w:val="center"/>
        <w:rPr>
          <w:i/>
          <w:iCs/>
          <w:color w:val="000000"/>
          <w:sz w:val="32"/>
          <w:szCs w:val="32"/>
        </w:rPr>
      </w:pPr>
      <w:r w:rsidRPr="00A60A2C">
        <w:rPr>
          <w:i/>
          <w:iCs/>
          <w:color w:val="000000"/>
          <w:sz w:val="32"/>
          <w:szCs w:val="32"/>
        </w:rPr>
        <w:t>Projet de loi de financement rectificative de la sécurité sociale</w:t>
      </w:r>
      <w:r>
        <w:rPr>
          <w:i/>
          <w:iCs/>
          <w:color w:val="000000"/>
          <w:sz w:val="32"/>
          <w:szCs w:val="32"/>
        </w:rPr>
        <w:t xml:space="preserve"> – (N°</w:t>
      </w:r>
      <w:r w:rsidR="00C03209">
        <w:rPr>
          <w:i/>
          <w:iCs/>
          <w:color w:val="000000"/>
          <w:sz w:val="32"/>
          <w:szCs w:val="32"/>
        </w:rPr>
        <w:t>368</w:t>
      </w:r>
      <w:r>
        <w:rPr>
          <w:i/>
          <w:iCs/>
          <w:color w:val="000000"/>
          <w:sz w:val="32"/>
          <w:szCs w:val="32"/>
        </w:rPr>
        <w:t>)</w:t>
      </w:r>
    </w:p>
    <w:p w14:paraId="71D1DEDD" w14:textId="4ECF025A" w:rsidR="005F43F6" w:rsidRPr="00155C7A" w:rsidRDefault="005F43F6" w:rsidP="005F43F6">
      <w:pPr>
        <w:widowControl w:val="0"/>
        <w:autoSpaceDE w:val="0"/>
        <w:autoSpaceDN w:val="0"/>
        <w:adjustRightInd w:val="0"/>
        <w:spacing w:before="200" w:after="200" w:line="276" w:lineRule="auto"/>
        <w:ind w:left="200" w:right="200"/>
        <w:jc w:val="center"/>
        <w:rPr>
          <w:rFonts w:ascii="Times New Roman" w:hAnsi="Times New Roman" w:cs="Times New Roman"/>
          <w:b/>
          <w:bCs/>
          <w:i/>
          <w:iCs/>
          <w:color w:val="000000"/>
          <w:sz w:val="32"/>
          <w:szCs w:val="32"/>
        </w:rPr>
      </w:pPr>
      <w:r w:rsidRPr="00155C7A">
        <w:rPr>
          <w:rFonts w:ascii="Times New Roman" w:hAnsi="Times New Roman" w:cs="Times New Roman"/>
          <w:b/>
          <w:bCs/>
          <w:i/>
          <w:iCs/>
          <w:color w:val="000000"/>
          <w:sz w:val="32"/>
          <w:szCs w:val="32"/>
        </w:rPr>
        <w:t>AMENDEMENT N°</w:t>
      </w:r>
      <w:r w:rsidR="00A60A2C" w:rsidRPr="008E0DDC">
        <w:rPr>
          <w:rFonts w:ascii="Times New Roman" w:hAnsi="Times New Roman" w:cs="Times New Roman"/>
          <w:b/>
          <w:bCs/>
          <w:i/>
          <w:iCs/>
          <w:color w:val="000000"/>
          <w:sz w:val="32"/>
          <w:szCs w:val="32"/>
          <w:highlight w:val="yellow"/>
        </w:rPr>
        <w:t>XXX</w:t>
      </w:r>
      <w:r w:rsidRPr="00155C7A">
        <w:rPr>
          <w:rFonts w:ascii="Times New Roman" w:hAnsi="Times New Roman" w:cs="Times New Roman"/>
          <w:b/>
          <w:bCs/>
          <w:i/>
          <w:iCs/>
          <w:color w:val="000000"/>
          <w:sz w:val="32"/>
          <w:szCs w:val="32"/>
        </w:rPr>
        <w:br/>
      </w:r>
      <w:r w:rsidRPr="00155C7A">
        <w:rPr>
          <w:rFonts w:ascii="Times New Roman" w:hAnsi="Times New Roman" w:cs="Times New Roman"/>
          <w:color w:val="000000"/>
          <w:sz w:val="24"/>
          <w:szCs w:val="24"/>
        </w:rPr>
        <w:t>présenté par</w:t>
      </w:r>
    </w:p>
    <w:p w14:paraId="1B5FC0D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i/>
          <w:iCs/>
          <w:color w:val="000000"/>
          <w:sz w:val="20"/>
          <w:szCs w:val="20"/>
        </w:rPr>
      </w:pPr>
      <w:r w:rsidRPr="00155C7A">
        <w:rPr>
          <w:rFonts w:ascii="Times New Roman" w:hAnsi="Times New Roman" w:cs="Times New Roman"/>
          <w:i/>
          <w:iCs/>
          <w:color w:val="000000"/>
          <w:sz w:val="20"/>
          <w:szCs w:val="20"/>
        </w:rPr>
        <w:t>____________</w:t>
      </w:r>
    </w:p>
    <w:p w14:paraId="4374E79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p>
    <w:p w14:paraId="76E4971D"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8"/>
          <w:szCs w:val="28"/>
        </w:rPr>
      </w:pPr>
    </w:p>
    <w:p w14:paraId="3A8633E3" w14:textId="2404BA26" w:rsidR="005F43F6" w:rsidRPr="005B1627" w:rsidRDefault="001C412D" w:rsidP="005F43F6">
      <w:pPr>
        <w:widowControl w:val="0"/>
        <w:autoSpaceDE w:val="0"/>
        <w:autoSpaceDN w:val="0"/>
        <w:adjustRightInd w:val="0"/>
        <w:spacing w:line="276" w:lineRule="auto"/>
        <w:jc w:val="center"/>
        <w:rPr>
          <w:rFonts w:ascii="Times New Roman" w:hAnsi="Times New Roman" w:cs="Times New Roman"/>
          <w:b/>
          <w:bCs/>
          <w:color w:val="000000"/>
          <w:sz w:val="28"/>
          <w:szCs w:val="28"/>
        </w:rPr>
      </w:pPr>
      <w:r w:rsidRPr="001C412D">
        <w:rPr>
          <w:rFonts w:ascii="Times New Roman" w:hAnsi="Times New Roman" w:cs="Times New Roman"/>
          <w:b/>
          <w:bCs/>
          <w:color w:val="000000"/>
          <w:sz w:val="28"/>
          <w:szCs w:val="28"/>
        </w:rPr>
        <w:t>ARTICLE ADDITIONNEL APRÈS L'ARTICLE 9</w:t>
      </w:r>
    </w:p>
    <w:p w14:paraId="16C8A13D" w14:textId="77777777" w:rsidR="00CF0288" w:rsidRDefault="00CF0288" w:rsidP="00CF0288">
      <w:pPr>
        <w:pStyle w:val="NormalWeb"/>
        <w:spacing w:before="0" w:beforeAutospacing="0" w:after="0" w:afterAutospacing="0"/>
        <w:jc w:val="both"/>
      </w:pPr>
    </w:p>
    <w:p w14:paraId="3646DA5F" w14:textId="6D130E2D" w:rsidR="00CF0288" w:rsidRDefault="00151982" w:rsidP="00321E81">
      <w:pPr>
        <w:pStyle w:val="NormalWeb"/>
        <w:spacing w:before="0" w:beforeAutospacing="0" w:after="0" w:afterAutospacing="0" w:line="276" w:lineRule="auto"/>
        <w:jc w:val="both"/>
      </w:pPr>
      <w:r>
        <w:t xml:space="preserve">Après l’article </w:t>
      </w:r>
      <w:r w:rsidR="003B24EE">
        <w:t>9</w:t>
      </w:r>
      <w:r>
        <w:t>, i</w:t>
      </w:r>
      <w:r w:rsidR="00CF0288">
        <w:t>nsérer l'article suivant :</w:t>
      </w:r>
    </w:p>
    <w:p w14:paraId="57343A90" w14:textId="77777777" w:rsidR="00CF0288" w:rsidRDefault="00CF0288" w:rsidP="00321E81">
      <w:pPr>
        <w:pStyle w:val="NormalWeb"/>
        <w:spacing w:before="0" w:beforeAutospacing="0" w:after="0" w:afterAutospacing="0" w:line="276" w:lineRule="auto"/>
        <w:jc w:val="both"/>
      </w:pPr>
      <w:r>
        <w:t xml:space="preserve"> </w:t>
      </w:r>
    </w:p>
    <w:p w14:paraId="09B78E2B" w14:textId="1E134C34" w:rsidR="00CF0288" w:rsidRDefault="00CF0288" w:rsidP="00321E81">
      <w:pPr>
        <w:pStyle w:val="NormalWeb"/>
        <w:spacing w:before="0" w:beforeAutospacing="0" w:after="0" w:afterAutospacing="0" w:line="276" w:lineRule="auto"/>
        <w:jc w:val="both"/>
      </w:pPr>
      <w:r>
        <w:t>« Dans un délai de six mois à compter de la p</w:t>
      </w:r>
      <w:r w:rsidR="00014B99">
        <w:t>romulgation</w:t>
      </w:r>
      <w:r>
        <w:t xml:space="preserve"> de la présente loi, le Gouvernement remet au Parlement un rapport examinant</w:t>
      </w:r>
      <w:r w:rsidR="0029370C">
        <w:t>, à la lumière</w:t>
      </w:r>
      <w:r>
        <w:t xml:space="preserve"> </w:t>
      </w:r>
      <w:r w:rsidR="0029370C">
        <w:t xml:space="preserve">d’une évaluation de la mise en œuvre du </w:t>
      </w:r>
      <w:r w:rsidR="00CB311B" w:rsidRPr="00CB311B">
        <w:t xml:space="preserve">compte professionnel de prévention </w:t>
      </w:r>
      <w:r w:rsidR="0029370C">
        <w:t xml:space="preserve">sur son champ d’application actuel, </w:t>
      </w:r>
      <w:r>
        <w:t xml:space="preserve">l’opportunité </w:t>
      </w:r>
      <w:r w:rsidR="00A706F3">
        <w:t xml:space="preserve">et les conditions </w:t>
      </w:r>
      <w:r w:rsidR="00881F34">
        <w:t xml:space="preserve">de sa </w:t>
      </w:r>
      <w:r>
        <w:t>transposition à la fonction publique</w:t>
      </w:r>
      <w:r w:rsidR="004D4952">
        <w:t>.</w:t>
      </w:r>
    </w:p>
    <w:p w14:paraId="61D5B1A7" w14:textId="77777777" w:rsidR="00CF0288" w:rsidRDefault="00CF0288" w:rsidP="00321E81">
      <w:pPr>
        <w:pStyle w:val="NormalWeb"/>
        <w:spacing w:before="0" w:beforeAutospacing="0" w:after="0" w:afterAutospacing="0" w:line="276" w:lineRule="auto"/>
        <w:jc w:val="both"/>
      </w:pPr>
    </w:p>
    <w:p w14:paraId="5E0D500C" w14:textId="48E7CEBE" w:rsidR="00CF0288" w:rsidRDefault="00CF0288" w:rsidP="00321E81">
      <w:pPr>
        <w:pStyle w:val="NormalWeb"/>
        <w:spacing w:before="0" w:beforeAutospacing="0" w:after="0" w:afterAutospacing="0" w:line="276" w:lineRule="auto"/>
        <w:jc w:val="both"/>
      </w:pPr>
      <w:r>
        <w:t>Ce rapport détermine les adaptations pertinentes à apporter au dispositif au regard des spécificités des métiers du service public, en particulier s’agissant des critères de pénibilité qui pourraient être retenus, et établi</w:t>
      </w:r>
      <w:r w:rsidR="00881F34">
        <w:t>t</w:t>
      </w:r>
      <w:r>
        <w:t>, plus largement, les conditions de réussite d’une telle transposition. »</w:t>
      </w:r>
    </w:p>
    <w:p w14:paraId="1E8570A0" w14:textId="77777777" w:rsidR="00A578F9" w:rsidRPr="00A578F9" w:rsidRDefault="00A578F9" w:rsidP="00A578F9">
      <w:pPr>
        <w:pStyle w:val="Paragraphedeliste"/>
        <w:spacing w:line="276" w:lineRule="auto"/>
        <w:ind w:left="1080"/>
        <w:jc w:val="both"/>
        <w:rPr>
          <w:rFonts w:ascii="Times New Roman" w:hAnsi="Times New Roman" w:cs="Times New Roman"/>
          <w:sz w:val="24"/>
          <w:szCs w:val="24"/>
        </w:rPr>
      </w:pPr>
    </w:p>
    <w:p w14:paraId="48DDF096" w14:textId="03DE6FAA" w:rsidR="005F43F6" w:rsidRDefault="005F43F6" w:rsidP="005F43F6">
      <w:pPr>
        <w:spacing w:line="276" w:lineRule="auto"/>
        <w:jc w:val="both"/>
        <w:rPr>
          <w:color w:val="00B050"/>
        </w:rPr>
      </w:pPr>
    </w:p>
    <w:p w14:paraId="076E72C0" w14:textId="77777777" w:rsidR="00555AD0" w:rsidRPr="006D77F6" w:rsidRDefault="00555AD0" w:rsidP="005F43F6">
      <w:pPr>
        <w:spacing w:line="276" w:lineRule="auto"/>
        <w:jc w:val="both"/>
        <w:rPr>
          <w:color w:val="00B050"/>
        </w:rPr>
      </w:pPr>
    </w:p>
    <w:p w14:paraId="056395F1" w14:textId="77777777" w:rsidR="005F43F6" w:rsidRDefault="005F43F6" w:rsidP="005F43F6">
      <w:pPr>
        <w:widowControl w:val="0"/>
        <w:autoSpaceDE w:val="0"/>
        <w:autoSpaceDN w:val="0"/>
        <w:adjustRightInd w:val="0"/>
        <w:spacing w:line="276" w:lineRule="auto"/>
        <w:jc w:val="center"/>
        <w:rPr>
          <w:rFonts w:ascii="Times New Roman" w:hAnsi="Times New Roman" w:cs="Times New Roman"/>
          <w:b/>
          <w:bCs/>
          <w:sz w:val="24"/>
          <w:szCs w:val="24"/>
        </w:rPr>
      </w:pPr>
      <w:r w:rsidRPr="00193A71">
        <w:rPr>
          <w:rFonts w:ascii="Times New Roman" w:hAnsi="Times New Roman" w:cs="Times New Roman"/>
          <w:b/>
          <w:bCs/>
          <w:sz w:val="24"/>
          <w:szCs w:val="24"/>
        </w:rPr>
        <w:t>EXPOSÉ SOMMAIRE</w:t>
      </w:r>
    </w:p>
    <w:p w14:paraId="5225F151" w14:textId="77777777" w:rsidR="00555AD0" w:rsidRDefault="00555AD0" w:rsidP="00555AD0">
      <w:pPr>
        <w:pStyle w:val="NormalWeb"/>
        <w:spacing w:before="0" w:beforeAutospacing="0" w:after="0" w:afterAutospacing="0"/>
        <w:jc w:val="both"/>
      </w:pPr>
    </w:p>
    <w:p w14:paraId="7B86F7D4" w14:textId="77777777" w:rsidR="00555AD0" w:rsidRDefault="00555AD0" w:rsidP="00555AD0">
      <w:pPr>
        <w:pStyle w:val="NormalWeb"/>
        <w:spacing w:before="0" w:beforeAutospacing="0" w:after="0" w:afterAutospacing="0"/>
        <w:jc w:val="both"/>
      </w:pPr>
    </w:p>
    <w:p w14:paraId="4972D36A" w14:textId="29611878" w:rsidR="00555AD0" w:rsidRDefault="00555AD0" w:rsidP="00321E81">
      <w:pPr>
        <w:pStyle w:val="NormalWeb"/>
        <w:spacing w:before="0" w:beforeAutospacing="0" w:after="0" w:afterAutospacing="0" w:line="276" w:lineRule="auto"/>
        <w:jc w:val="both"/>
      </w:pPr>
      <w:r>
        <w:t>Le compte professionnel de prévention (C2P), encadré par l’ordonnance n°2017-1387 du 22 septembre 2017 relative à la prévisibilité et la sécurisation des relations de travail, constitue la pierre angulaire de la prise en compte de pénibilité pour les salariés du secteur privé mais également pour le personnel des personnes publiques employé dans les conditions du droit privé</w:t>
      </w:r>
    </w:p>
    <w:p w14:paraId="55256B10" w14:textId="77777777" w:rsidR="00555AD0" w:rsidRDefault="00555AD0" w:rsidP="00321E81">
      <w:pPr>
        <w:pStyle w:val="NormalWeb"/>
        <w:spacing w:before="0" w:beforeAutospacing="0" w:after="0" w:afterAutospacing="0" w:line="276" w:lineRule="auto"/>
        <w:jc w:val="both"/>
      </w:pPr>
      <w:r>
        <w:t xml:space="preserve"> </w:t>
      </w:r>
    </w:p>
    <w:p w14:paraId="178931B0" w14:textId="6BF176A2" w:rsidR="00555AD0" w:rsidRDefault="00555AD0" w:rsidP="00321E81">
      <w:pPr>
        <w:pStyle w:val="NormalWeb"/>
        <w:spacing w:before="0" w:beforeAutospacing="0" w:after="0" w:afterAutospacing="0" w:line="276" w:lineRule="auto"/>
        <w:jc w:val="both"/>
      </w:pPr>
      <w:r>
        <w:t xml:space="preserve">Ce dispositif individuel n’existe pas aujourd’hui dans la fonction publique, au sein de laquelle la pénibilité est essentiellement appréhendée au travers des catégories dites « </w:t>
      </w:r>
      <w:r w:rsidRPr="00135292">
        <w:rPr>
          <w:i/>
          <w:iCs/>
        </w:rPr>
        <w:t>actives</w:t>
      </w:r>
      <w:r>
        <w:t xml:space="preserve"> », conformément à une nomenclature établie par le décret n°54-832 du 13 août 1954, soit une part très marginale des agents publics (6% dans la fonction publique territoriale). </w:t>
      </w:r>
    </w:p>
    <w:p w14:paraId="0543DD7F" w14:textId="77777777" w:rsidR="00555AD0" w:rsidRDefault="00555AD0" w:rsidP="00321E81">
      <w:pPr>
        <w:pStyle w:val="NormalWeb"/>
        <w:spacing w:before="0" w:beforeAutospacing="0" w:after="0" w:afterAutospacing="0" w:line="276" w:lineRule="auto"/>
        <w:jc w:val="both"/>
      </w:pPr>
    </w:p>
    <w:p w14:paraId="1794F93A" w14:textId="5497BFD8" w:rsidR="00555AD0" w:rsidRDefault="00555AD0" w:rsidP="00321E81">
      <w:pPr>
        <w:pStyle w:val="NormalWeb"/>
        <w:spacing w:before="0" w:beforeAutospacing="0" w:after="0" w:afterAutospacing="0" w:line="276" w:lineRule="auto"/>
        <w:jc w:val="both"/>
      </w:pPr>
      <w:r>
        <w:t xml:space="preserve">Cette approche binaire et catégorielle de la pénibilité dans la fonction publique apparaît de plus en plus éloignée des enjeux d’usure professionnelle, qui risquent de toucher un nombre </w:t>
      </w:r>
      <w:r>
        <w:lastRenderedPageBreak/>
        <w:t>croissant d’agents en raison de l’allongement annoncé par le présent projet de réforme de la durée de travail pour tous les agents de droit public et de droit privé. Les catégories de fonctionnaires les plus vulnérables, en premier lieu les agents de catégorie C, qui représentent 7</w:t>
      </w:r>
      <w:r w:rsidR="00135292">
        <w:t>6</w:t>
      </w:r>
      <w:r>
        <w:t xml:space="preserve">% des effectifs du versant territorial de la fonction publique, seront particulièrement pénalisées. </w:t>
      </w:r>
    </w:p>
    <w:p w14:paraId="4929E05D" w14:textId="77777777" w:rsidR="00555AD0" w:rsidRDefault="00555AD0" w:rsidP="00321E81">
      <w:pPr>
        <w:pStyle w:val="NormalWeb"/>
        <w:spacing w:before="0" w:beforeAutospacing="0" w:after="0" w:afterAutospacing="0" w:line="276" w:lineRule="auto"/>
        <w:jc w:val="both"/>
      </w:pPr>
    </w:p>
    <w:p w14:paraId="669135C3" w14:textId="77777777" w:rsidR="00555AD0" w:rsidRDefault="00555AD0" w:rsidP="00321E81">
      <w:pPr>
        <w:pStyle w:val="NormalWeb"/>
        <w:spacing w:before="0" w:beforeAutospacing="0" w:after="0" w:afterAutospacing="0" w:line="276" w:lineRule="auto"/>
        <w:jc w:val="both"/>
      </w:pPr>
      <w:r>
        <w:t>Le présent projet de loi, en n’envisageant pas une telle extension du C2P, renforce la dualité entre une approche de la pénibilité fondée sur des outils individuels dans le secteur privé et une approche centrée presque exclusivement sur des outils catégoriels dans la fonction publique.</w:t>
      </w:r>
    </w:p>
    <w:p w14:paraId="6BC85BD8" w14:textId="77777777" w:rsidR="00555AD0" w:rsidRDefault="00555AD0" w:rsidP="00321E81">
      <w:pPr>
        <w:pStyle w:val="NormalWeb"/>
        <w:spacing w:before="0" w:beforeAutospacing="0" w:after="0" w:afterAutospacing="0" w:line="276" w:lineRule="auto"/>
        <w:jc w:val="both"/>
      </w:pPr>
      <w:r>
        <w:t xml:space="preserve"> </w:t>
      </w:r>
    </w:p>
    <w:p w14:paraId="43A44D95" w14:textId="6A62B5B6" w:rsidR="0044242A" w:rsidRDefault="00555AD0" w:rsidP="00321E81">
      <w:pPr>
        <w:pStyle w:val="NormalWeb"/>
        <w:spacing w:before="0" w:beforeAutospacing="0" w:after="0" w:afterAutospacing="0" w:line="276" w:lineRule="auto"/>
        <w:jc w:val="both"/>
      </w:pPr>
      <w:r>
        <w:t xml:space="preserve">Il convient de résorber cette insuffisance et cette inadaptation des outils de prévention de la pénibilité dans la fonction publique en étudiant les conditions d’une transposition du C2P aux agents </w:t>
      </w:r>
      <w:r w:rsidR="00F62443">
        <w:t>publics</w:t>
      </w:r>
      <w:r>
        <w:t>. La question de l’opportunité d’une telle extension apparaît d’autant plus soulevée que l’usure professionnelle induite par les mesures d’âge contenues dans le présent projet de réforme constitue un défi qui risque de peser paradoxalement sur les finances publiques, en générant d’importants coûts « cachés » et transferts de charges assurantiels au détriment des collectivités territoriales.</w:t>
      </w:r>
    </w:p>
    <w:p w14:paraId="67E2042C" w14:textId="64C6EBE4" w:rsidR="003A7CAA" w:rsidRDefault="003A7CAA" w:rsidP="00321E81">
      <w:pPr>
        <w:pStyle w:val="NormalWeb"/>
        <w:spacing w:before="0" w:beforeAutospacing="0" w:after="0" w:afterAutospacing="0" w:line="276" w:lineRule="auto"/>
        <w:jc w:val="both"/>
      </w:pPr>
    </w:p>
    <w:p w14:paraId="3E5476D9" w14:textId="681AA7EA" w:rsidR="003A7CAA" w:rsidRDefault="00AB3534" w:rsidP="00321E81">
      <w:pPr>
        <w:pStyle w:val="NormalWeb"/>
        <w:spacing w:before="0" w:beforeAutospacing="0" w:after="0" w:afterAutospacing="0" w:line="276" w:lineRule="auto"/>
        <w:jc w:val="both"/>
        <w:rPr>
          <w:bdr w:val="none" w:sz="0" w:space="0" w:color="auto" w:frame="1"/>
          <w:shd w:val="clear" w:color="auto" w:fill="FFFFFF"/>
        </w:rPr>
      </w:pPr>
      <w:r w:rsidRPr="00AB3534">
        <w:rPr>
          <w:bdr w:val="none" w:sz="0" w:space="0" w:color="auto" w:frame="1"/>
          <w:shd w:val="clear" w:color="auto" w:fill="FFFFFF"/>
        </w:rPr>
        <w:t>Cet amendement est proposé par la Coordination des employeurs publics territoriaux, instance informelle regroupant l’ensemble des associations nationales d’élus locaux.</w:t>
      </w:r>
    </w:p>
    <w:p w14:paraId="4A4A758A" w14:textId="258C1C75" w:rsidR="00C417C7" w:rsidRDefault="00C417C7" w:rsidP="00321E81">
      <w:pPr>
        <w:pStyle w:val="NormalWeb"/>
        <w:spacing w:line="276" w:lineRule="auto"/>
        <w:jc w:val="both"/>
        <w:rPr>
          <w:bdr w:val="none" w:sz="0" w:space="0" w:color="auto" w:frame="1"/>
          <w:shd w:val="clear" w:color="auto" w:fill="FFFFFF"/>
        </w:rPr>
      </w:pPr>
    </w:p>
    <w:p w14:paraId="0B2C6882" w14:textId="77777777" w:rsidR="00C417C7" w:rsidRPr="00C417C7" w:rsidRDefault="00C417C7" w:rsidP="005F43F6">
      <w:pPr>
        <w:pStyle w:val="NormalWeb"/>
        <w:spacing w:line="276" w:lineRule="auto"/>
        <w:jc w:val="both"/>
      </w:pPr>
    </w:p>
    <w:sectPr w:rsidR="00C417C7" w:rsidRPr="00C417C7">
      <w:headerReference w:type="even"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DD83E" w14:textId="77777777" w:rsidR="00E866D1" w:rsidRDefault="00E866D1" w:rsidP="008E54B6">
      <w:r>
        <w:separator/>
      </w:r>
    </w:p>
  </w:endnote>
  <w:endnote w:type="continuationSeparator" w:id="0">
    <w:p w14:paraId="1EA60E1B" w14:textId="77777777" w:rsidR="00E866D1" w:rsidRDefault="00E866D1" w:rsidP="008E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utura-Book">
    <w:altName w:val="Century Gothic"/>
    <w:panose1 w:val="00000000000000000000"/>
    <w:charset w:val="00"/>
    <w:family w:val="roman"/>
    <w:notTrueType/>
    <w:pitch w:val="default"/>
  </w:font>
  <w:font w:name="Futura-Heavy">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rbane Ligh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65844" w14:textId="77777777" w:rsidR="00E866D1" w:rsidRDefault="00E866D1" w:rsidP="008E54B6">
      <w:r>
        <w:separator/>
      </w:r>
    </w:p>
  </w:footnote>
  <w:footnote w:type="continuationSeparator" w:id="0">
    <w:p w14:paraId="792639C5" w14:textId="77777777" w:rsidR="00E866D1" w:rsidRDefault="00E866D1" w:rsidP="008E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E777" w14:textId="03485802" w:rsidR="00B252C7" w:rsidRDefault="00C03209">
    <w:pPr>
      <w:pStyle w:val="En-tte"/>
    </w:pPr>
    <w:r>
      <w:rPr>
        <w:noProof/>
      </w:rPr>
      <w:pict w14:anchorId="2062A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6.35pt;height:213.15pt;rotation:315;z-index:-251658752;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FC"/>
    <w:multiLevelType w:val="hybridMultilevel"/>
    <w:tmpl w:val="3D94BB0E"/>
    <w:lvl w:ilvl="0" w:tplc="D97AB892">
      <w:start w:val="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C8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8D1E7A"/>
    <w:multiLevelType w:val="hybridMultilevel"/>
    <w:tmpl w:val="29F024D2"/>
    <w:lvl w:ilvl="0" w:tplc="5980F5E0">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5A544D"/>
    <w:multiLevelType w:val="hybridMultilevel"/>
    <w:tmpl w:val="176E4458"/>
    <w:lvl w:ilvl="0" w:tplc="6FD813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747BA8"/>
    <w:multiLevelType w:val="multilevel"/>
    <w:tmpl w:val="75C0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89945626">
    <w:abstractNumId w:val="2"/>
  </w:num>
  <w:num w:numId="2" w16cid:durableId="470489055">
    <w:abstractNumId w:val="1"/>
  </w:num>
  <w:num w:numId="3" w16cid:durableId="924919603">
    <w:abstractNumId w:val="0"/>
  </w:num>
  <w:num w:numId="4" w16cid:durableId="1120956807">
    <w:abstractNumId w:val="4"/>
  </w:num>
  <w:num w:numId="5" w16cid:durableId="967127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3"/>
    <w:rsid w:val="00014B99"/>
    <w:rsid w:val="00052DBE"/>
    <w:rsid w:val="00061BED"/>
    <w:rsid w:val="000A29FB"/>
    <w:rsid w:val="000B73BA"/>
    <w:rsid w:val="000C0556"/>
    <w:rsid w:val="000F6FED"/>
    <w:rsid w:val="00135292"/>
    <w:rsid w:val="00151982"/>
    <w:rsid w:val="00155C7A"/>
    <w:rsid w:val="001658AE"/>
    <w:rsid w:val="00177A4B"/>
    <w:rsid w:val="00180198"/>
    <w:rsid w:val="00181211"/>
    <w:rsid w:val="001858CC"/>
    <w:rsid w:val="00193A71"/>
    <w:rsid w:val="00194365"/>
    <w:rsid w:val="00196C18"/>
    <w:rsid w:val="001B4534"/>
    <w:rsid w:val="001B47AC"/>
    <w:rsid w:val="001C412D"/>
    <w:rsid w:val="001E115C"/>
    <w:rsid w:val="001F1FFE"/>
    <w:rsid w:val="001F4079"/>
    <w:rsid w:val="00201492"/>
    <w:rsid w:val="00230C0A"/>
    <w:rsid w:val="00233190"/>
    <w:rsid w:val="002379C7"/>
    <w:rsid w:val="0029370C"/>
    <w:rsid w:val="00296423"/>
    <w:rsid w:val="002C2D1E"/>
    <w:rsid w:val="002C36A8"/>
    <w:rsid w:val="002D2889"/>
    <w:rsid w:val="002E752D"/>
    <w:rsid w:val="002F1196"/>
    <w:rsid w:val="002F4B43"/>
    <w:rsid w:val="00321E81"/>
    <w:rsid w:val="00355375"/>
    <w:rsid w:val="00371B5D"/>
    <w:rsid w:val="00372184"/>
    <w:rsid w:val="003A2EED"/>
    <w:rsid w:val="003A630A"/>
    <w:rsid w:val="003A7CAA"/>
    <w:rsid w:val="003B24EE"/>
    <w:rsid w:val="003B303D"/>
    <w:rsid w:val="003D58E3"/>
    <w:rsid w:val="00413543"/>
    <w:rsid w:val="004204EB"/>
    <w:rsid w:val="004240B3"/>
    <w:rsid w:val="0043625B"/>
    <w:rsid w:val="0044242A"/>
    <w:rsid w:val="004426D7"/>
    <w:rsid w:val="00473CF9"/>
    <w:rsid w:val="004812C3"/>
    <w:rsid w:val="00490EA7"/>
    <w:rsid w:val="0049307B"/>
    <w:rsid w:val="004A241C"/>
    <w:rsid w:val="004A338A"/>
    <w:rsid w:val="004B35A0"/>
    <w:rsid w:val="004B6AC0"/>
    <w:rsid w:val="004D4952"/>
    <w:rsid w:val="004E2D92"/>
    <w:rsid w:val="004E5C7D"/>
    <w:rsid w:val="004F1C44"/>
    <w:rsid w:val="00514DAD"/>
    <w:rsid w:val="00523FD8"/>
    <w:rsid w:val="005530C5"/>
    <w:rsid w:val="00555AD0"/>
    <w:rsid w:val="00556852"/>
    <w:rsid w:val="00575282"/>
    <w:rsid w:val="005A1060"/>
    <w:rsid w:val="005A5321"/>
    <w:rsid w:val="005B1627"/>
    <w:rsid w:val="005B4474"/>
    <w:rsid w:val="005C5315"/>
    <w:rsid w:val="005D649E"/>
    <w:rsid w:val="005F43F6"/>
    <w:rsid w:val="006247A2"/>
    <w:rsid w:val="006351D6"/>
    <w:rsid w:val="00656281"/>
    <w:rsid w:val="00662D75"/>
    <w:rsid w:val="00674204"/>
    <w:rsid w:val="006823B4"/>
    <w:rsid w:val="0068260D"/>
    <w:rsid w:val="006A5080"/>
    <w:rsid w:val="006B4F1C"/>
    <w:rsid w:val="006D53A0"/>
    <w:rsid w:val="006D77F6"/>
    <w:rsid w:val="006E2B72"/>
    <w:rsid w:val="006F5C62"/>
    <w:rsid w:val="007127AC"/>
    <w:rsid w:val="00731855"/>
    <w:rsid w:val="007416D9"/>
    <w:rsid w:val="007478FA"/>
    <w:rsid w:val="007510EE"/>
    <w:rsid w:val="00755D13"/>
    <w:rsid w:val="00761082"/>
    <w:rsid w:val="007655ED"/>
    <w:rsid w:val="007A24CF"/>
    <w:rsid w:val="007A395E"/>
    <w:rsid w:val="007B136F"/>
    <w:rsid w:val="007B5FA2"/>
    <w:rsid w:val="007B7706"/>
    <w:rsid w:val="007C75B6"/>
    <w:rsid w:val="007D6DE4"/>
    <w:rsid w:val="007F31CC"/>
    <w:rsid w:val="007F67A3"/>
    <w:rsid w:val="008138C5"/>
    <w:rsid w:val="00813BA1"/>
    <w:rsid w:val="0082286B"/>
    <w:rsid w:val="0083765F"/>
    <w:rsid w:val="0084214D"/>
    <w:rsid w:val="00851421"/>
    <w:rsid w:val="00852F11"/>
    <w:rsid w:val="00881F34"/>
    <w:rsid w:val="0088626C"/>
    <w:rsid w:val="00887F10"/>
    <w:rsid w:val="008A6BED"/>
    <w:rsid w:val="008C63BD"/>
    <w:rsid w:val="008E0DDC"/>
    <w:rsid w:val="008E54B6"/>
    <w:rsid w:val="008F0D42"/>
    <w:rsid w:val="009105C3"/>
    <w:rsid w:val="00917750"/>
    <w:rsid w:val="009214D5"/>
    <w:rsid w:val="00921F16"/>
    <w:rsid w:val="00924D77"/>
    <w:rsid w:val="009255AD"/>
    <w:rsid w:val="0092572B"/>
    <w:rsid w:val="009652C8"/>
    <w:rsid w:val="0096606F"/>
    <w:rsid w:val="00966733"/>
    <w:rsid w:val="00970741"/>
    <w:rsid w:val="00976A23"/>
    <w:rsid w:val="00991456"/>
    <w:rsid w:val="009C27C1"/>
    <w:rsid w:val="009D434A"/>
    <w:rsid w:val="00A32520"/>
    <w:rsid w:val="00A45F7A"/>
    <w:rsid w:val="00A578F9"/>
    <w:rsid w:val="00A60A2C"/>
    <w:rsid w:val="00A706F3"/>
    <w:rsid w:val="00A936D0"/>
    <w:rsid w:val="00AB3534"/>
    <w:rsid w:val="00AB4FA7"/>
    <w:rsid w:val="00AC6034"/>
    <w:rsid w:val="00AE19A2"/>
    <w:rsid w:val="00AF0B46"/>
    <w:rsid w:val="00B04DCB"/>
    <w:rsid w:val="00B252C7"/>
    <w:rsid w:val="00B3548B"/>
    <w:rsid w:val="00B4053B"/>
    <w:rsid w:val="00B446C2"/>
    <w:rsid w:val="00B60E95"/>
    <w:rsid w:val="00B63B84"/>
    <w:rsid w:val="00B66952"/>
    <w:rsid w:val="00B8525B"/>
    <w:rsid w:val="00B85537"/>
    <w:rsid w:val="00BB0AF0"/>
    <w:rsid w:val="00BB0D03"/>
    <w:rsid w:val="00BD5C30"/>
    <w:rsid w:val="00BF0432"/>
    <w:rsid w:val="00BF23A5"/>
    <w:rsid w:val="00BF54BE"/>
    <w:rsid w:val="00C00F2D"/>
    <w:rsid w:val="00C03209"/>
    <w:rsid w:val="00C151DC"/>
    <w:rsid w:val="00C2085E"/>
    <w:rsid w:val="00C417C7"/>
    <w:rsid w:val="00C44A58"/>
    <w:rsid w:val="00C44DEB"/>
    <w:rsid w:val="00C65766"/>
    <w:rsid w:val="00C80AAB"/>
    <w:rsid w:val="00C854CE"/>
    <w:rsid w:val="00C92659"/>
    <w:rsid w:val="00CB311B"/>
    <w:rsid w:val="00CF0288"/>
    <w:rsid w:val="00CF6573"/>
    <w:rsid w:val="00D03B9A"/>
    <w:rsid w:val="00D356AC"/>
    <w:rsid w:val="00D37F60"/>
    <w:rsid w:val="00D443DC"/>
    <w:rsid w:val="00D5660E"/>
    <w:rsid w:val="00D65A50"/>
    <w:rsid w:val="00D763E6"/>
    <w:rsid w:val="00D77F44"/>
    <w:rsid w:val="00D92B81"/>
    <w:rsid w:val="00D937B4"/>
    <w:rsid w:val="00D974BF"/>
    <w:rsid w:val="00DB2B60"/>
    <w:rsid w:val="00DD03E5"/>
    <w:rsid w:val="00DF3F21"/>
    <w:rsid w:val="00DF684C"/>
    <w:rsid w:val="00E16BE4"/>
    <w:rsid w:val="00E4489B"/>
    <w:rsid w:val="00E47F91"/>
    <w:rsid w:val="00E52FBF"/>
    <w:rsid w:val="00E53DA0"/>
    <w:rsid w:val="00E57BCC"/>
    <w:rsid w:val="00E662E4"/>
    <w:rsid w:val="00E8348E"/>
    <w:rsid w:val="00E866D1"/>
    <w:rsid w:val="00E95B5A"/>
    <w:rsid w:val="00EB7AE5"/>
    <w:rsid w:val="00EC0AB5"/>
    <w:rsid w:val="00EE055B"/>
    <w:rsid w:val="00EE3C48"/>
    <w:rsid w:val="00F04F20"/>
    <w:rsid w:val="00F22CE5"/>
    <w:rsid w:val="00F51071"/>
    <w:rsid w:val="00F62443"/>
    <w:rsid w:val="00F64124"/>
    <w:rsid w:val="00F64A80"/>
    <w:rsid w:val="00F7226C"/>
    <w:rsid w:val="00F75A46"/>
    <w:rsid w:val="00FA26CC"/>
    <w:rsid w:val="00FB1656"/>
    <w:rsid w:val="00FC6D2A"/>
    <w:rsid w:val="00FE69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801C"/>
  <w15:chartTrackingRefBased/>
  <w15:docId w15:val="{20045634-6D38-49B0-A8D5-FABAE3CD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3"/>
    <w:pPr>
      <w:spacing w:after="0" w:line="240" w:lineRule="auto"/>
    </w:pPr>
    <w:rPr>
      <w:rFonts w:ascii="Calibri" w:hAnsi="Calibri" w:cs="Calibri"/>
    </w:rPr>
  </w:style>
  <w:style w:type="paragraph" w:styleId="Titre1">
    <w:name w:val="heading 1"/>
    <w:basedOn w:val="Normal"/>
    <w:link w:val="Titre1Car"/>
    <w:uiPriority w:val="9"/>
    <w:qFormat/>
    <w:rsid w:val="000B73BA"/>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20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1C44"/>
    <w:pPr>
      <w:ind w:left="720"/>
      <w:contextualSpacing/>
    </w:pPr>
  </w:style>
  <w:style w:type="character" w:customStyle="1" w:styleId="fontstyle01">
    <w:name w:val="fontstyle01"/>
    <w:basedOn w:val="Policepardfaut"/>
    <w:rsid w:val="007A24CF"/>
    <w:rPr>
      <w:rFonts w:ascii="Futura-Book" w:hAnsi="Futura-Book" w:hint="default"/>
      <w:b w:val="0"/>
      <w:bCs w:val="0"/>
      <w:i w:val="0"/>
      <w:iCs w:val="0"/>
      <w:color w:val="000000"/>
      <w:sz w:val="22"/>
      <w:szCs w:val="22"/>
    </w:rPr>
  </w:style>
  <w:style w:type="character" w:customStyle="1" w:styleId="fontstyle21">
    <w:name w:val="fontstyle21"/>
    <w:basedOn w:val="Policepardfaut"/>
    <w:rsid w:val="00B8525B"/>
    <w:rPr>
      <w:rFonts w:ascii="Futura-Heavy" w:hAnsi="Futura-Heavy" w:hint="default"/>
      <w:b w:val="0"/>
      <w:bCs w:val="0"/>
      <w:i w:val="0"/>
      <w:iCs w:val="0"/>
      <w:color w:val="000000"/>
      <w:sz w:val="22"/>
      <w:szCs w:val="22"/>
    </w:rPr>
  </w:style>
  <w:style w:type="paragraph" w:styleId="NormalWeb">
    <w:name w:val="Normal (Web)"/>
    <w:basedOn w:val="Normal"/>
    <w:uiPriority w:val="99"/>
    <w:unhideWhenUsed/>
    <w:rsid w:val="00A936D0"/>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C00F2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FB1656"/>
    <w:pPr>
      <w:spacing w:after="0" w:line="240" w:lineRule="auto"/>
    </w:pPr>
    <w:rPr>
      <w:rFonts w:ascii="Calibri" w:hAnsi="Calibri" w:cs="Calibri"/>
    </w:rPr>
  </w:style>
  <w:style w:type="paragraph" w:customStyle="1" w:styleId="assnatfpfprojetloiartexte">
    <w:name w:val="assnatfpfprojetloiartexte"/>
    <w:basedOn w:val="Normal"/>
    <w:rsid w:val="00F75A4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ssnatemphasis">
    <w:name w:val="assnatemphasis"/>
    <w:basedOn w:val="Policepardfaut"/>
    <w:rsid w:val="00F75A46"/>
  </w:style>
  <w:style w:type="character" w:customStyle="1" w:styleId="A7">
    <w:name w:val="A7"/>
    <w:uiPriority w:val="99"/>
    <w:rsid w:val="000B73BA"/>
    <w:rPr>
      <w:rFonts w:cs="Urbane Light"/>
      <w:b/>
      <w:bCs/>
      <w:color w:val="000000"/>
      <w:sz w:val="22"/>
      <w:szCs w:val="22"/>
    </w:rPr>
  </w:style>
  <w:style w:type="character" w:customStyle="1" w:styleId="A8">
    <w:name w:val="A8"/>
    <w:uiPriority w:val="99"/>
    <w:rsid w:val="000B73BA"/>
    <w:rPr>
      <w:rFonts w:cs="Urbane Light"/>
      <w:color w:val="000000"/>
      <w:sz w:val="12"/>
      <w:szCs w:val="12"/>
    </w:rPr>
  </w:style>
  <w:style w:type="character" w:customStyle="1" w:styleId="Titre1Car">
    <w:name w:val="Titre 1 Car"/>
    <w:basedOn w:val="Policepardfaut"/>
    <w:link w:val="Titre1"/>
    <w:uiPriority w:val="9"/>
    <w:rsid w:val="000B73BA"/>
    <w:rPr>
      <w:rFonts w:ascii="Times New Roman" w:eastAsia="Times New Roman" w:hAnsi="Times New Roman" w:cs="Times New Roman"/>
      <w:b/>
      <w:bCs/>
      <w:kern w:val="36"/>
      <w:sz w:val="48"/>
      <w:szCs w:val="48"/>
      <w:lang w:eastAsia="fr-FR"/>
    </w:rPr>
  </w:style>
  <w:style w:type="character" w:customStyle="1" w:styleId="A10">
    <w:name w:val="A10"/>
    <w:uiPriority w:val="99"/>
    <w:rsid w:val="00D37F60"/>
    <w:rPr>
      <w:rFonts w:cs="Urbane Light"/>
      <w:color w:val="000000"/>
      <w:sz w:val="26"/>
      <w:szCs w:val="26"/>
    </w:rPr>
  </w:style>
  <w:style w:type="character" w:styleId="Marquedecommentaire">
    <w:name w:val="annotation reference"/>
    <w:basedOn w:val="Policepardfaut"/>
    <w:uiPriority w:val="99"/>
    <w:semiHidden/>
    <w:unhideWhenUsed/>
    <w:rsid w:val="00E57BCC"/>
    <w:rPr>
      <w:sz w:val="16"/>
      <w:szCs w:val="16"/>
    </w:rPr>
  </w:style>
  <w:style w:type="paragraph" w:styleId="Commentaire">
    <w:name w:val="annotation text"/>
    <w:basedOn w:val="Normal"/>
    <w:link w:val="CommentaireCar"/>
    <w:uiPriority w:val="99"/>
    <w:unhideWhenUsed/>
    <w:rsid w:val="00E57BCC"/>
    <w:pPr>
      <w:spacing w:after="160"/>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E57BCC"/>
    <w:rPr>
      <w:sz w:val="20"/>
      <w:szCs w:val="20"/>
    </w:rPr>
  </w:style>
  <w:style w:type="character" w:styleId="Lienhypertexte">
    <w:name w:val="Hyperlink"/>
    <w:basedOn w:val="Policepardfaut"/>
    <w:uiPriority w:val="99"/>
    <w:unhideWhenUsed/>
    <w:rsid w:val="00E57BCC"/>
    <w:rPr>
      <w:color w:val="0563C1" w:themeColor="hyperlink"/>
      <w:u w:val="single"/>
    </w:rPr>
  </w:style>
  <w:style w:type="paragraph" w:customStyle="1" w:styleId="Pa7">
    <w:name w:val="Pa7"/>
    <w:basedOn w:val="Default"/>
    <w:next w:val="Default"/>
    <w:uiPriority w:val="99"/>
    <w:rsid w:val="00B04DCB"/>
    <w:pPr>
      <w:spacing w:line="241" w:lineRule="atLeast"/>
    </w:pPr>
    <w:rPr>
      <w:rFonts w:ascii="Urbane Light" w:hAnsi="Urbane Light" w:cstheme="minorBidi"/>
      <w:color w:val="auto"/>
    </w:rPr>
  </w:style>
  <w:style w:type="paragraph" w:customStyle="1" w:styleId="xmsonormal">
    <w:name w:val="x_msonormal"/>
    <w:basedOn w:val="Normal"/>
    <w:rsid w:val="003D58E3"/>
    <w:pPr>
      <w:spacing w:before="100" w:beforeAutospacing="1" w:after="100" w:afterAutospacing="1"/>
    </w:pPr>
    <w:rPr>
      <w:lang w:eastAsia="fr-FR"/>
    </w:rPr>
  </w:style>
  <w:style w:type="table" w:styleId="Grilledutableau">
    <w:name w:val="Table Grid"/>
    <w:basedOn w:val="TableauNormal"/>
    <w:uiPriority w:val="39"/>
    <w:rsid w:val="00B6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54B6"/>
    <w:pPr>
      <w:tabs>
        <w:tab w:val="center" w:pos="4536"/>
        <w:tab w:val="right" w:pos="9072"/>
      </w:tabs>
    </w:pPr>
  </w:style>
  <w:style w:type="character" w:customStyle="1" w:styleId="En-tteCar">
    <w:name w:val="En-tête Car"/>
    <w:basedOn w:val="Policepardfaut"/>
    <w:link w:val="En-tte"/>
    <w:uiPriority w:val="99"/>
    <w:rsid w:val="008E54B6"/>
    <w:rPr>
      <w:rFonts w:ascii="Calibri" w:hAnsi="Calibri" w:cs="Calibri"/>
    </w:rPr>
  </w:style>
  <w:style w:type="paragraph" w:styleId="Pieddepage">
    <w:name w:val="footer"/>
    <w:basedOn w:val="Normal"/>
    <w:link w:val="PieddepageCar"/>
    <w:uiPriority w:val="99"/>
    <w:unhideWhenUsed/>
    <w:rsid w:val="008E54B6"/>
    <w:pPr>
      <w:tabs>
        <w:tab w:val="center" w:pos="4536"/>
        <w:tab w:val="right" w:pos="9072"/>
      </w:tabs>
    </w:pPr>
  </w:style>
  <w:style w:type="character" w:customStyle="1" w:styleId="PieddepageCar">
    <w:name w:val="Pied de page Car"/>
    <w:basedOn w:val="Policepardfaut"/>
    <w:link w:val="Pieddepage"/>
    <w:uiPriority w:val="99"/>
    <w:rsid w:val="008E54B6"/>
    <w:rPr>
      <w:rFonts w:ascii="Calibri" w:hAnsi="Calibri" w:cs="Calibri"/>
    </w:rPr>
  </w:style>
  <w:style w:type="character" w:customStyle="1" w:styleId="Titre2Car">
    <w:name w:val="Titre 2 Car"/>
    <w:basedOn w:val="Policepardfaut"/>
    <w:link w:val="Titre2"/>
    <w:uiPriority w:val="9"/>
    <w:semiHidden/>
    <w:rsid w:val="00201492"/>
    <w:rPr>
      <w:rFonts w:asciiTheme="majorHAnsi" w:eastAsiaTheme="majorEastAsia" w:hAnsiTheme="majorHAnsi" w:cstheme="majorBidi"/>
      <w:color w:val="2F5496" w:themeColor="accent1" w:themeShade="BF"/>
      <w:sz w:val="26"/>
      <w:szCs w:val="26"/>
    </w:rPr>
  </w:style>
  <w:style w:type="character" w:customStyle="1" w:styleId="hgkelc">
    <w:name w:val="hgkelc"/>
    <w:basedOn w:val="Policepardfaut"/>
    <w:rsid w:val="00DD03E5"/>
  </w:style>
  <w:style w:type="paragraph" w:styleId="Objetducommentaire">
    <w:name w:val="annotation subject"/>
    <w:basedOn w:val="Commentaire"/>
    <w:next w:val="Commentaire"/>
    <w:link w:val="ObjetducommentaireCar"/>
    <w:uiPriority w:val="99"/>
    <w:semiHidden/>
    <w:unhideWhenUsed/>
    <w:rsid w:val="001E115C"/>
    <w:pPr>
      <w:spacing w:after="0"/>
    </w:pPr>
    <w:rPr>
      <w:rFonts w:ascii="Calibri" w:hAnsi="Calibri" w:cs="Calibri"/>
      <w:b/>
      <w:bCs/>
    </w:rPr>
  </w:style>
  <w:style w:type="character" w:customStyle="1" w:styleId="ObjetducommentaireCar">
    <w:name w:val="Objet du commentaire Car"/>
    <w:basedOn w:val="CommentaireCar"/>
    <w:link w:val="Objetducommentaire"/>
    <w:uiPriority w:val="99"/>
    <w:semiHidden/>
    <w:rsid w:val="001E115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10845">
      <w:bodyDiv w:val="1"/>
      <w:marLeft w:val="0"/>
      <w:marRight w:val="0"/>
      <w:marTop w:val="0"/>
      <w:marBottom w:val="0"/>
      <w:divBdr>
        <w:top w:val="none" w:sz="0" w:space="0" w:color="auto"/>
        <w:left w:val="none" w:sz="0" w:space="0" w:color="auto"/>
        <w:bottom w:val="none" w:sz="0" w:space="0" w:color="auto"/>
        <w:right w:val="none" w:sz="0" w:space="0" w:color="auto"/>
      </w:divBdr>
    </w:div>
    <w:div w:id="177542799">
      <w:bodyDiv w:val="1"/>
      <w:marLeft w:val="0"/>
      <w:marRight w:val="0"/>
      <w:marTop w:val="0"/>
      <w:marBottom w:val="0"/>
      <w:divBdr>
        <w:top w:val="none" w:sz="0" w:space="0" w:color="auto"/>
        <w:left w:val="none" w:sz="0" w:space="0" w:color="auto"/>
        <w:bottom w:val="none" w:sz="0" w:space="0" w:color="auto"/>
        <w:right w:val="none" w:sz="0" w:space="0" w:color="auto"/>
      </w:divBdr>
    </w:div>
    <w:div w:id="538588198">
      <w:bodyDiv w:val="1"/>
      <w:marLeft w:val="0"/>
      <w:marRight w:val="0"/>
      <w:marTop w:val="0"/>
      <w:marBottom w:val="0"/>
      <w:divBdr>
        <w:top w:val="none" w:sz="0" w:space="0" w:color="auto"/>
        <w:left w:val="none" w:sz="0" w:space="0" w:color="auto"/>
        <w:bottom w:val="none" w:sz="0" w:space="0" w:color="auto"/>
        <w:right w:val="none" w:sz="0" w:space="0" w:color="auto"/>
      </w:divBdr>
    </w:div>
    <w:div w:id="687409535">
      <w:bodyDiv w:val="1"/>
      <w:marLeft w:val="0"/>
      <w:marRight w:val="0"/>
      <w:marTop w:val="0"/>
      <w:marBottom w:val="0"/>
      <w:divBdr>
        <w:top w:val="none" w:sz="0" w:space="0" w:color="auto"/>
        <w:left w:val="none" w:sz="0" w:space="0" w:color="auto"/>
        <w:bottom w:val="none" w:sz="0" w:space="0" w:color="auto"/>
        <w:right w:val="none" w:sz="0" w:space="0" w:color="auto"/>
      </w:divBdr>
      <w:divsChild>
        <w:div w:id="85275199">
          <w:marLeft w:val="0"/>
          <w:marRight w:val="0"/>
          <w:marTop w:val="0"/>
          <w:marBottom w:val="0"/>
          <w:divBdr>
            <w:top w:val="none" w:sz="0" w:space="0" w:color="auto"/>
            <w:left w:val="none" w:sz="0" w:space="0" w:color="auto"/>
            <w:bottom w:val="none" w:sz="0" w:space="0" w:color="auto"/>
            <w:right w:val="none" w:sz="0" w:space="0" w:color="auto"/>
          </w:divBdr>
        </w:div>
      </w:divsChild>
    </w:div>
    <w:div w:id="687634350">
      <w:bodyDiv w:val="1"/>
      <w:marLeft w:val="0"/>
      <w:marRight w:val="0"/>
      <w:marTop w:val="0"/>
      <w:marBottom w:val="0"/>
      <w:divBdr>
        <w:top w:val="none" w:sz="0" w:space="0" w:color="auto"/>
        <w:left w:val="none" w:sz="0" w:space="0" w:color="auto"/>
        <w:bottom w:val="none" w:sz="0" w:space="0" w:color="auto"/>
        <w:right w:val="none" w:sz="0" w:space="0" w:color="auto"/>
      </w:divBdr>
    </w:div>
    <w:div w:id="803159380">
      <w:bodyDiv w:val="1"/>
      <w:marLeft w:val="0"/>
      <w:marRight w:val="0"/>
      <w:marTop w:val="0"/>
      <w:marBottom w:val="0"/>
      <w:divBdr>
        <w:top w:val="none" w:sz="0" w:space="0" w:color="auto"/>
        <w:left w:val="none" w:sz="0" w:space="0" w:color="auto"/>
        <w:bottom w:val="none" w:sz="0" w:space="0" w:color="auto"/>
        <w:right w:val="none" w:sz="0" w:space="0" w:color="auto"/>
      </w:divBdr>
    </w:div>
    <w:div w:id="808207643">
      <w:bodyDiv w:val="1"/>
      <w:marLeft w:val="0"/>
      <w:marRight w:val="0"/>
      <w:marTop w:val="0"/>
      <w:marBottom w:val="0"/>
      <w:divBdr>
        <w:top w:val="none" w:sz="0" w:space="0" w:color="auto"/>
        <w:left w:val="none" w:sz="0" w:space="0" w:color="auto"/>
        <w:bottom w:val="none" w:sz="0" w:space="0" w:color="auto"/>
        <w:right w:val="none" w:sz="0" w:space="0" w:color="auto"/>
      </w:divBdr>
    </w:div>
    <w:div w:id="852770371">
      <w:bodyDiv w:val="1"/>
      <w:marLeft w:val="0"/>
      <w:marRight w:val="0"/>
      <w:marTop w:val="0"/>
      <w:marBottom w:val="0"/>
      <w:divBdr>
        <w:top w:val="none" w:sz="0" w:space="0" w:color="auto"/>
        <w:left w:val="none" w:sz="0" w:space="0" w:color="auto"/>
        <w:bottom w:val="none" w:sz="0" w:space="0" w:color="auto"/>
        <w:right w:val="none" w:sz="0" w:space="0" w:color="auto"/>
      </w:divBdr>
    </w:div>
    <w:div w:id="871040054">
      <w:bodyDiv w:val="1"/>
      <w:marLeft w:val="0"/>
      <w:marRight w:val="0"/>
      <w:marTop w:val="0"/>
      <w:marBottom w:val="0"/>
      <w:divBdr>
        <w:top w:val="none" w:sz="0" w:space="0" w:color="auto"/>
        <w:left w:val="none" w:sz="0" w:space="0" w:color="auto"/>
        <w:bottom w:val="none" w:sz="0" w:space="0" w:color="auto"/>
        <w:right w:val="none" w:sz="0" w:space="0" w:color="auto"/>
      </w:divBdr>
    </w:div>
    <w:div w:id="1033384912">
      <w:bodyDiv w:val="1"/>
      <w:marLeft w:val="0"/>
      <w:marRight w:val="0"/>
      <w:marTop w:val="0"/>
      <w:marBottom w:val="0"/>
      <w:divBdr>
        <w:top w:val="none" w:sz="0" w:space="0" w:color="auto"/>
        <w:left w:val="none" w:sz="0" w:space="0" w:color="auto"/>
        <w:bottom w:val="none" w:sz="0" w:space="0" w:color="auto"/>
        <w:right w:val="none" w:sz="0" w:space="0" w:color="auto"/>
      </w:divBdr>
    </w:div>
    <w:div w:id="1110080586">
      <w:bodyDiv w:val="1"/>
      <w:marLeft w:val="0"/>
      <w:marRight w:val="0"/>
      <w:marTop w:val="0"/>
      <w:marBottom w:val="0"/>
      <w:divBdr>
        <w:top w:val="none" w:sz="0" w:space="0" w:color="auto"/>
        <w:left w:val="none" w:sz="0" w:space="0" w:color="auto"/>
        <w:bottom w:val="none" w:sz="0" w:space="0" w:color="auto"/>
        <w:right w:val="none" w:sz="0" w:space="0" w:color="auto"/>
      </w:divBdr>
    </w:div>
    <w:div w:id="1180461684">
      <w:bodyDiv w:val="1"/>
      <w:marLeft w:val="0"/>
      <w:marRight w:val="0"/>
      <w:marTop w:val="0"/>
      <w:marBottom w:val="0"/>
      <w:divBdr>
        <w:top w:val="none" w:sz="0" w:space="0" w:color="auto"/>
        <w:left w:val="none" w:sz="0" w:space="0" w:color="auto"/>
        <w:bottom w:val="none" w:sz="0" w:space="0" w:color="auto"/>
        <w:right w:val="none" w:sz="0" w:space="0" w:color="auto"/>
      </w:divBdr>
    </w:div>
    <w:div w:id="1427532360">
      <w:bodyDiv w:val="1"/>
      <w:marLeft w:val="0"/>
      <w:marRight w:val="0"/>
      <w:marTop w:val="0"/>
      <w:marBottom w:val="0"/>
      <w:divBdr>
        <w:top w:val="none" w:sz="0" w:space="0" w:color="auto"/>
        <w:left w:val="none" w:sz="0" w:space="0" w:color="auto"/>
        <w:bottom w:val="none" w:sz="0" w:space="0" w:color="auto"/>
        <w:right w:val="none" w:sz="0" w:space="0" w:color="auto"/>
      </w:divBdr>
    </w:div>
    <w:div w:id="1550730149">
      <w:bodyDiv w:val="1"/>
      <w:marLeft w:val="0"/>
      <w:marRight w:val="0"/>
      <w:marTop w:val="0"/>
      <w:marBottom w:val="0"/>
      <w:divBdr>
        <w:top w:val="none" w:sz="0" w:space="0" w:color="auto"/>
        <w:left w:val="none" w:sz="0" w:space="0" w:color="auto"/>
        <w:bottom w:val="none" w:sz="0" w:space="0" w:color="auto"/>
        <w:right w:val="none" w:sz="0" w:space="0" w:color="auto"/>
      </w:divBdr>
    </w:div>
    <w:div w:id="1803844679">
      <w:bodyDiv w:val="1"/>
      <w:marLeft w:val="0"/>
      <w:marRight w:val="0"/>
      <w:marTop w:val="0"/>
      <w:marBottom w:val="0"/>
      <w:divBdr>
        <w:top w:val="none" w:sz="0" w:space="0" w:color="auto"/>
        <w:left w:val="none" w:sz="0" w:space="0" w:color="auto"/>
        <w:bottom w:val="none" w:sz="0" w:space="0" w:color="auto"/>
        <w:right w:val="none" w:sz="0" w:space="0" w:color="auto"/>
      </w:divBdr>
    </w:div>
    <w:div w:id="1850606715">
      <w:bodyDiv w:val="1"/>
      <w:marLeft w:val="0"/>
      <w:marRight w:val="0"/>
      <w:marTop w:val="0"/>
      <w:marBottom w:val="0"/>
      <w:divBdr>
        <w:top w:val="none" w:sz="0" w:space="0" w:color="auto"/>
        <w:left w:val="none" w:sz="0" w:space="0" w:color="auto"/>
        <w:bottom w:val="none" w:sz="0" w:space="0" w:color="auto"/>
        <w:right w:val="none" w:sz="0" w:space="0" w:color="auto"/>
      </w:divBdr>
    </w:div>
    <w:div w:id="1868520522">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6">
          <w:marLeft w:val="0"/>
          <w:marRight w:val="0"/>
          <w:marTop w:val="0"/>
          <w:marBottom w:val="0"/>
          <w:divBdr>
            <w:top w:val="none" w:sz="0" w:space="0" w:color="auto"/>
            <w:left w:val="none" w:sz="0" w:space="0" w:color="auto"/>
            <w:bottom w:val="none" w:sz="0" w:space="0" w:color="auto"/>
            <w:right w:val="none" w:sz="0" w:space="0" w:color="auto"/>
          </w:divBdr>
        </w:div>
      </w:divsChild>
    </w:div>
    <w:div w:id="187658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509</Words>
  <Characters>2801</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RIOU</dc:creator>
  <cp:keywords/>
  <dc:description/>
  <cp:lastModifiedBy>Bastien TALOC</cp:lastModifiedBy>
  <cp:revision>11</cp:revision>
  <dcterms:created xsi:type="dcterms:W3CDTF">2023-01-31T14:50:00Z</dcterms:created>
  <dcterms:modified xsi:type="dcterms:W3CDTF">2023-02-21T21:47:00Z</dcterms:modified>
</cp:coreProperties>
</file>